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D1" w:rsidRPr="00467C0E" w:rsidRDefault="000B5893" w:rsidP="000B5893">
      <w:pPr>
        <w:jc w:val="center"/>
        <w:rPr>
          <w:b/>
          <w:sz w:val="28"/>
          <w:szCs w:val="28"/>
        </w:rPr>
      </w:pPr>
      <w:bookmarkStart w:id="0" w:name="_GoBack"/>
      <w:bookmarkEnd w:id="0"/>
      <w:r w:rsidRPr="00467C0E">
        <w:rPr>
          <w:b/>
          <w:sz w:val="28"/>
          <w:szCs w:val="28"/>
        </w:rPr>
        <w:t>Templates for Mode of Action Analysis</w:t>
      </w:r>
      <w:r w:rsidR="00697F77" w:rsidRPr="00467C0E">
        <w:rPr>
          <w:b/>
          <w:sz w:val="28"/>
          <w:szCs w:val="28"/>
        </w:rPr>
        <w:t xml:space="preserve"> using the WHO/IPCS MoA Framework</w:t>
      </w:r>
    </w:p>
    <w:p w:rsidR="000B5893" w:rsidRDefault="00402467" w:rsidP="00B417F3">
      <w:pPr>
        <w:jc w:val="both"/>
      </w:pPr>
      <w:r>
        <w:t>T</w:t>
      </w:r>
      <w:r w:rsidR="000B5893">
        <w:t>he following templates for mode of action analysis are based on the WHO/IPC</w:t>
      </w:r>
      <w:r w:rsidR="00697F77">
        <w:t>S Mode of Action Framework</w:t>
      </w:r>
      <w:r w:rsidR="000B5893">
        <w:t xml:space="preserve"> and intended for use for both human health and/or environmental mode of action analysis.</w:t>
      </w:r>
    </w:p>
    <w:p w:rsidR="00402467" w:rsidRDefault="00BE5BA1" w:rsidP="00B417F3">
      <w:pPr>
        <w:jc w:val="both"/>
      </w:pPr>
      <w:r>
        <w:t>A</w:t>
      </w:r>
      <w:r w:rsidR="00402467">
        <w:t xml:space="preserve">ssessment of data sets including reliability should be performed prior to the use of the templates for mode of action analysis, following the available ECHA Guidance in this respect. </w:t>
      </w:r>
    </w:p>
    <w:p w:rsidR="000B5893" w:rsidRDefault="000B5893" w:rsidP="00B417F3">
      <w:pPr>
        <w:jc w:val="both"/>
      </w:pPr>
      <w:r>
        <w:t>The templates can be modified by users where relevant depending on the application.</w:t>
      </w:r>
    </w:p>
    <w:p w:rsidR="00402467" w:rsidRDefault="00402467" w:rsidP="00402467">
      <w:pPr>
        <w:spacing w:after="0"/>
        <w:ind w:left="720" w:hanging="720"/>
        <w:jc w:val="both"/>
      </w:pPr>
      <w:r>
        <w:t xml:space="preserve">Before using the templates for mode of action analysis, the WHO/IPCS Guidance on Mode of Action framework and the cases studies included therein </w:t>
      </w:r>
    </w:p>
    <w:p w:rsidR="00467C0E" w:rsidRDefault="00402467" w:rsidP="00402467">
      <w:pPr>
        <w:spacing w:after="0"/>
        <w:ind w:left="720" w:hanging="720"/>
        <w:jc w:val="both"/>
      </w:pPr>
      <w:r>
        <w:t>should be consulted. The current document does not provide as such guidance but only short notes taken from the WHO/IPCS Guidance documents</w:t>
      </w:r>
      <w:r w:rsidR="00467C0E">
        <w:t xml:space="preserve"> and</w:t>
      </w:r>
    </w:p>
    <w:p w:rsidR="00402467" w:rsidRDefault="00467C0E" w:rsidP="00402467">
      <w:pPr>
        <w:spacing w:after="0"/>
        <w:ind w:left="720" w:hanging="720"/>
        <w:jc w:val="both"/>
      </w:pPr>
      <w:r>
        <w:t>case studies</w:t>
      </w:r>
      <w:r w:rsidR="00402467">
        <w:t xml:space="preserve">. </w:t>
      </w:r>
    </w:p>
    <w:p w:rsidR="00402467" w:rsidRDefault="00402467" w:rsidP="00E85BAC">
      <w:pPr>
        <w:jc w:val="both"/>
        <w:rPr>
          <w:b/>
        </w:rPr>
      </w:pPr>
    </w:p>
    <w:p w:rsidR="00E85BAC" w:rsidRPr="00E85BAC" w:rsidRDefault="00E85BAC" w:rsidP="00E85BAC">
      <w:pPr>
        <w:jc w:val="both"/>
        <w:rPr>
          <w:b/>
        </w:rPr>
      </w:pPr>
      <w:r w:rsidRPr="00E85BAC">
        <w:rPr>
          <w:b/>
        </w:rPr>
        <w:t xml:space="preserve">Guidance for the use of the templates is available at: </w:t>
      </w:r>
    </w:p>
    <w:p w:rsidR="00D96D3F" w:rsidRPr="00D96D3F" w:rsidRDefault="00E85BAC" w:rsidP="00D96D3F">
      <w:pPr>
        <w:pStyle w:val="NormalWeb"/>
        <w:numPr>
          <w:ilvl w:val="0"/>
          <w:numId w:val="4"/>
        </w:numPr>
        <w:spacing w:before="0" w:beforeAutospacing="0" w:after="120" w:afterAutospacing="0"/>
        <w:ind w:left="714" w:hanging="357"/>
        <w:rPr>
          <w:lang w:val="en"/>
        </w:rPr>
      </w:pPr>
      <w:r w:rsidRPr="00D73D82">
        <w:rPr>
          <w:rFonts w:asciiTheme="minorHAnsi" w:eastAsiaTheme="minorHAnsi" w:hAnsiTheme="minorHAnsi" w:cstheme="minorBidi"/>
          <w:i/>
          <w:sz w:val="22"/>
          <w:szCs w:val="22"/>
          <w:lang w:eastAsia="en-US"/>
        </w:rPr>
        <w:t>New developments in the evolution and application of the WHO/IPCS framework on mode of action/species concordance analysis (pages 1–18); M. E. Meek, A. Boobis, I. Cote, V. Dellarco, G. Fotakis, S. Munn, J. Seed and C. Vickers; Article first published online: 25 OCT 2013 Available</w:t>
      </w:r>
      <w:r w:rsidRPr="00D73D82">
        <w:rPr>
          <w:i/>
          <w:lang w:val="en"/>
        </w:rPr>
        <w:t xml:space="preserve"> </w:t>
      </w:r>
      <w:r w:rsidRPr="00D73D82">
        <w:rPr>
          <w:rFonts w:asciiTheme="minorHAnsi" w:eastAsiaTheme="minorHAnsi" w:hAnsiTheme="minorHAnsi" w:cstheme="minorBidi"/>
          <w:i/>
          <w:sz w:val="22"/>
          <w:szCs w:val="22"/>
          <w:lang w:eastAsia="en-US"/>
        </w:rPr>
        <w:t>at:</w:t>
      </w:r>
      <w:r w:rsidRPr="00D96D3F">
        <w:rPr>
          <w:rFonts w:asciiTheme="minorHAnsi" w:eastAsiaTheme="minorHAnsi" w:hAnsiTheme="minorHAnsi" w:cstheme="minorBidi"/>
          <w:sz w:val="22"/>
          <w:szCs w:val="22"/>
          <w:lang w:eastAsia="en-US"/>
        </w:rPr>
        <w:t xml:space="preserve"> </w:t>
      </w:r>
      <w:hyperlink r:id="rId12" w:history="1">
        <w:r w:rsidRPr="00D96D3F">
          <w:rPr>
            <w:rStyle w:val="Hyperlink"/>
            <w:rFonts w:asciiTheme="minorHAnsi" w:eastAsiaTheme="minorHAnsi" w:hAnsiTheme="minorHAnsi" w:cstheme="minorBidi"/>
            <w:b/>
            <w:sz w:val="22"/>
            <w:szCs w:val="22"/>
            <w:lang w:eastAsia="en-US"/>
          </w:rPr>
          <w:t>http://onlinelibrary.wiley.com/doi/10.1002/jat.v34.1/issuetoc</w:t>
        </w:r>
      </w:hyperlink>
      <w:r>
        <w:t xml:space="preserve"> </w:t>
      </w:r>
    </w:p>
    <w:p w:rsidR="00E85BAC" w:rsidRPr="00D96D3F" w:rsidRDefault="00E85BAC" w:rsidP="00D96D3F">
      <w:pPr>
        <w:pStyle w:val="ListParagraph"/>
        <w:numPr>
          <w:ilvl w:val="0"/>
          <w:numId w:val="4"/>
        </w:numPr>
        <w:spacing w:after="120"/>
        <w:ind w:left="714" w:hanging="357"/>
        <w:rPr>
          <w:b/>
        </w:rPr>
      </w:pPr>
      <w:r w:rsidRPr="00D73D82">
        <w:rPr>
          <w:i/>
        </w:rPr>
        <w:t>WHO/IPCS Guidance on mode of action framework (for cancer and non-cancer risk assessment):</w:t>
      </w:r>
      <w:r w:rsidRPr="00D96D3F">
        <w:rPr>
          <w:b/>
        </w:rPr>
        <w:t xml:space="preserve"> </w:t>
      </w:r>
      <w:hyperlink r:id="rId13" w:history="1">
        <w:r w:rsidRPr="00D96D3F">
          <w:rPr>
            <w:rStyle w:val="Hyperlink"/>
            <w:b/>
          </w:rPr>
          <w:t>http://www.who.int/ipcs/methods/harmonization/areas/cancer/en/</w:t>
        </w:r>
      </w:hyperlink>
      <w:r w:rsidRPr="00D96D3F">
        <w:rPr>
          <w:b/>
        </w:rPr>
        <w:t xml:space="preserve"> </w:t>
      </w:r>
    </w:p>
    <w:p w:rsidR="00E85BAC" w:rsidRPr="00D96D3F" w:rsidRDefault="00E85BAC" w:rsidP="00D73D82">
      <w:pPr>
        <w:pStyle w:val="ListParagraph"/>
        <w:spacing w:after="120"/>
        <w:ind w:left="714"/>
        <w:jc w:val="both"/>
        <w:rPr>
          <w:b/>
        </w:rPr>
      </w:pPr>
      <w:r w:rsidRPr="00D73D82">
        <w:rPr>
          <w:i/>
        </w:rPr>
        <w:t>Part I and Part I</w:t>
      </w:r>
      <w:r w:rsidR="00D96D3F" w:rsidRPr="00D73D82">
        <w:rPr>
          <w:i/>
        </w:rPr>
        <w:t>I Harmonisation Series Guidance</w:t>
      </w:r>
      <w:r w:rsidRPr="00D73D82">
        <w:rPr>
          <w:i/>
        </w:rPr>
        <w:t xml:space="preserve"> available at:</w:t>
      </w:r>
      <w:r w:rsidRPr="00D96D3F">
        <w:rPr>
          <w:b/>
        </w:rPr>
        <w:t xml:space="preserve"> </w:t>
      </w:r>
      <w:hyperlink r:id="rId14" w:history="1">
        <w:r w:rsidRPr="00D96D3F">
          <w:rPr>
            <w:rStyle w:val="Hyperlink"/>
            <w:b/>
          </w:rPr>
          <w:t>http://www.who.int/ipcs/methods/harmonization/areas/cancer_mode.pdf?ua=1</w:t>
        </w:r>
      </w:hyperlink>
    </w:p>
    <w:p w:rsidR="005D7722" w:rsidRDefault="005D7722" w:rsidP="00D96D3F">
      <w:pPr>
        <w:spacing w:after="120"/>
        <w:jc w:val="both"/>
        <w:rPr>
          <w:b/>
        </w:rPr>
      </w:pPr>
    </w:p>
    <w:p w:rsidR="00C53916" w:rsidRDefault="00C53916">
      <w:pPr>
        <w:rPr>
          <w:b/>
        </w:rPr>
      </w:pPr>
      <w:r>
        <w:rPr>
          <w:b/>
        </w:rPr>
        <w:br w:type="page"/>
      </w:r>
    </w:p>
    <w:p w:rsidR="005A1177" w:rsidRPr="00D73D82" w:rsidRDefault="005A1177" w:rsidP="00D73D82">
      <w:pPr>
        <w:pStyle w:val="ListParagraph"/>
        <w:numPr>
          <w:ilvl w:val="0"/>
          <w:numId w:val="5"/>
        </w:numPr>
        <w:jc w:val="both"/>
        <w:rPr>
          <w:b/>
        </w:rPr>
      </w:pPr>
      <w:r w:rsidRPr="00D73D82">
        <w:rPr>
          <w:b/>
        </w:rPr>
        <w:lastRenderedPageBreak/>
        <w:t>Problem formulation</w:t>
      </w:r>
    </w:p>
    <w:p w:rsidR="005A1177" w:rsidRDefault="00137FA4" w:rsidP="00B417F3">
      <w:pPr>
        <w:jc w:val="both"/>
        <w:rPr>
          <w:i/>
        </w:rPr>
      </w:pPr>
      <w:r>
        <w:rPr>
          <w:i/>
        </w:rPr>
        <w:t>S</w:t>
      </w:r>
      <w:r w:rsidR="001348C9" w:rsidRPr="001348C9">
        <w:rPr>
          <w:i/>
        </w:rPr>
        <w:t xml:space="preserve">hort description of the nature of the analysis, the scope and potential application. Initial problem formulation can be modified once the mode of action analysis has been completed if needed. </w:t>
      </w:r>
    </w:p>
    <w:p w:rsidR="00102E1D" w:rsidRDefault="00102E1D" w:rsidP="00B417F3">
      <w:pPr>
        <w:jc w:val="both"/>
        <w:rPr>
          <w:i/>
        </w:rPr>
      </w:pPr>
      <w:r>
        <w:rPr>
          <w:i/>
        </w:rPr>
        <w:t xml:space="preserve">Examples of problem formulation are available at: </w:t>
      </w:r>
      <w:hyperlink r:id="rId15" w:history="1">
        <w:r w:rsidRPr="00D96D3F">
          <w:rPr>
            <w:rStyle w:val="Hyperlink"/>
            <w:b/>
          </w:rPr>
          <w:t>http://onlinelibrary.wiley.com/doi/10.1002/jat.v34.1/issuetoc</w:t>
        </w:r>
      </w:hyperlink>
    </w:p>
    <w:p w:rsidR="00DC1B44" w:rsidRPr="001348C9" w:rsidRDefault="00DC1B44" w:rsidP="00B417F3">
      <w:pPr>
        <w:jc w:val="both"/>
        <w:rPr>
          <w:i/>
        </w:rPr>
      </w:pPr>
      <w:r>
        <w:rPr>
          <w:i/>
        </w:rPr>
        <w:t xml:space="preserve">Mode of action is chemical specific and endpoint specific. A chemical may be acting by multiple modes of action; in such cases the mode of action analysis may need to be performed for each mode of action separately if the </w:t>
      </w:r>
      <w:r w:rsidR="00102E1D">
        <w:rPr>
          <w:i/>
        </w:rPr>
        <w:t xml:space="preserve">critical </w:t>
      </w:r>
      <w:r>
        <w:rPr>
          <w:i/>
        </w:rPr>
        <w:t>effects are different.</w:t>
      </w:r>
    </w:p>
    <w:p w:rsidR="001348C9" w:rsidRDefault="001348C9" w:rsidP="00B417F3">
      <w:pPr>
        <w:jc w:val="both"/>
        <w:rPr>
          <w:b/>
        </w:rPr>
      </w:pPr>
    </w:p>
    <w:p w:rsidR="00C53916" w:rsidRDefault="00C53916">
      <w:pPr>
        <w:rPr>
          <w:b/>
        </w:rPr>
      </w:pPr>
      <w:r>
        <w:rPr>
          <w:b/>
        </w:rPr>
        <w:br w:type="page"/>
      </w:r>
    </w:p>
    <w:p w:rsidR="005A1177" w:rsidRPr="00D73D82" w:rsidRDefault="005A1177" w:rsidP="00D73D82">
      <w:pPr>
        <w:pStyle w:val="ListParagraph"/>
        <w:numPr>
          <w:ilvl w:val="0"/>
          <w:numId w:val="5"/>
        </w:numPr>
        <w:jc w:val="both"/>
        <w:rPr>
          <w:b/>
        </w:rPr>
      </w:pPr>
      <w:r w:rsidRPr="00D73D82">
        <w:rPr>
          <w:b/>
        </w:rPr>
        <w:lastRenderedPageBreak/>
        <w:t>Hypothesised Mode of action Statement</w:t>
      </w:r>
    </w:p>
    <w:p w:rsidR="005A1177" w:rsidRPr="001348C9" w:rsidRDefault="001348C9" w:rsidP="00B417F3">
      <w:pPr>
        <w:jc w:val="both"/>
        <w:rPr>
          <w:i/>
        </w:rPr>
      </w:pPr>
      <w:r w:rsidRPr="001348C9">
        <w:rPr>
          <w:i/>
        </w:rPr>
        <w:t xml:space="preserve">Short description of the mode of action that will be </w:t>
      </w:r>
      <w:r w:rsidR="00740A75">
        <w:rPr>
          <w:i/>
        </w:rPr>
        <w:t>analysed</w:t>
      </w:r>
      <w:r w:rsidRPr="001348C9">
        <w:rPr>
          <w:i/>
        </w:rPr>
        <w:t xml:space="preserve"> using the templates further below.</w:t>
      </w:r>
    </w:p>
    <w:p w:rsidR="003658C4" w:rsidRPr="003658C4" w:rsidRDefault="003658C4" w:rsidP="003658C4">
      <w:pPr>
        <w:spacing w:after="120"/>
        <w:jc w:val="both"/>
        <w:rPr>
          <w:b/>
        </w:rPr>
      </w:pPr>
      <w:r>
        <w:t xml:space="preserve">Examples are available within the case studies of </w:t>
      </w:r>
      <w:r w:rsidRPr="003658C4">
        <w:rPr>
          <w:i/>
        </w:rPr>
        <w:t>Part I and Part II Harmonisation Series Guidance available at:</w:t>
      </w:r>
      <w:r w:rsidRPr="003658C4">
        <w:rPr>
          <w:b/>
        </w:rPr>
        <w:t xml:space="preserve"> </w:t>
      </w:r>
      <w:hyperlink r:id="rId16" w:history="1">
        <w:r w:rsidRPr="003658C4">
          <w:rPr>
            <w:rStyle w:val="Hyperlink"/>
            <w:b/>
          </w:rPr>
          <w:t>http://www.who.int/ipcs/methods/harmonization/areas/cancer_mode.pdf?ua=1</w:t>
        </w:r>
      </w:hyperlink>
    </w:p>
    <w:p w:rsidR="005A1177" w:rsidRDefault="005A1177"/>
    <w:p w:rsidR="008A278E" w:rsidRDefault="008A278E">
      <w:r>
        <w:br w:type="page"/>
      </w:r>
    </w:p>
    <w:p w:rsidR="005A1177" w:rsidRDefault="00191072" w:rsidP="00D73D82">
      <w:pPr>
        <w:pStyle w:val="ListParagraph"/>
        <w:numPr>
          <w:ilvl w:val="0"/>
          <w:numId w:val="5"/>
        </w:numPr>
      </w:pPr>
      <w:r w:rsidRPr="00D73D82">
        <w:rPr>
          <w:b/>
        </w:rPr>
        <w:lastRenderedPageBreak/>
        <w:t>Summary of data for use in Mode of Action Analysis</w:t>
      </w:r>
    </w:p>
    <w:tbl>
      <w:tblPr>
        <w:tblStyle w:val="TableGrid"/>
        <w:tblW w:w="0" w:type="auto"/>
        <w:tblLook w:val="04A0" w:firstRow="1" w:lastRow="0" w:firstColumn="1" w:lastColumn="0" w:noHBand="0" w:noVBand="1"/>
      </w:tblPr>
      <w:tblGrid>
        <w:gridCol w:w="2834"/>
        <w:gridCol w:w="2835"/>
        <w:gridCol w:w="2835"/>
        <w:gridCol w:w="2835"/>
        <w:gridCol w:w="2835"/>
      </w:tblGrid>
      <w:tr w:rsidR="00191072" w:rsidTr="00191072">
        <w:tc>
          <w:tcPr>
            <w:tcW w:w="2834" w:type="dxa"/>
          </w:tcPr>
          <w:p w:rsidR="00191072" w:rsidRDefault="00191072" w:rsidP="00191072">
            <w:pPr>
              <w:rPr>
                <w:b/>
              </w:rPr>
            </w:pPr>
            <w:r>
              <w:rPr>
                <w:b/>
              </w:rPr>
              <w:t>Species</w:t>
            </w:r>
          </w:p>
        </w:tc>
        <w:tc>
          <w:tcPr>
            <w:tcW w:w="2835" w:type="dxa"/>
          </w:tcPr>
          <w:p w:rsidR="00191072" w:rsidRDefault="00191072" w:rsidP="00191072">
            <w:pPr>
              <w:rPr>
                <w:b/>
              </w:rPr>
            </w:pPr>
            <w:r>
              <w:rPr>
                <w:b/>
              </w:rPr>
              <w:t>Route/Dose</w:t>
            </w:r>
          </w:p>
        </w:tc>
        <w:tc>
          <w:tcPr>
            <w:tcW w:w="2835" w:type="dxa"/>
          </w:tcPr>
          <w:p w:rsidR="00191072" w:rsidRDefault="00191072" w:rsidP="00191072">
            <w:pPr>
              <w:rPr>
                <w:b/>
              </w:rPr>
            </w:pPr>
            <w:r>
              <w:rPr>
                <w:b/>
              </w:rPr>
              <w:t>Incidence</w:t>
            </w:r>
          </w:p>
        </w:tc>
        <w:tc>
          <w:tcPr>
            <w:tcW w:w="2835" w:type="dxa"/>
          </w:tcPr>
          <w:p w:rsidR="00191072" w:rsidRDefault="00191072" w:rsidP="00191072">
            <w:pPr>
              <w:rPr>
                <w:b/>
              </w:rPr>
            </w:pPr>
            <w:r>
              <w:rPr>
                <w:b/>
              </w:rPr>
              <w:t>Comments</w:t>
            </w:r>
          </w:p>
        </w:tc>
        <w:tc>
          <w:tcPr>
            <w:tcW w:w="2835" w:type="dxa"/>
          </w:tcPr>
          <w:p w:rsidR="00191072" w:rsidRDefault="00191072" w:rsidP="00191072">
            <w:pPr>
              <w:rPr>
                <w:b/>
              </w:rPr>
            </w:pPr>
            <w:r>
              <w:rPr>
                <w:b/>
              </w:rPr>
              <w:t>References</w:t>
            </w:r>
          </w:p>
        </w:tc>
      </w:tr>
      <w:tr w:rsidR="00191072" w:rsidTr="00191072">
        <w:tc>
          <w:tcPr>
            <w:tcW w:w="2834" w:type="dxa"/>
          </w:tcPr>
          <w:p w:rsidR="00191072" w:rsidRDefault="00191072" w:rsidP="00191072">
            <w:pPr>
              <w:rPr>
                <w:b/>
              </w:rPr>
            </w:pPr>
          </w:p>
          <w:p w:rsidR="00191072" w:rsidRDefault="00191072" w:rsidP="00191072">
            <w:pPr>
              <w:rPr>
                <w:b/>
              </w:rPr>
            </w:pPr>
          </w:p>
          <w:p w:rsidR="00533139" w:rsidRDefault="00533139" w:rsidP="00191072">
            <w:pPr>
              <w:rPr>
                <w:b/>
              </w:rPr>
            </w:pPr>
          </w:p>
          <w:p w:rsidR="00533139" w:rsidRDefault="00533139" w:rsidP="00191072">
            <w:pPr>
              <w:rPr>
                <w:b/>
              </w:rPr>
            </w:pPr>
          </w:p>
        </w:tc>
        <w:tc>
          <w:tcPr>
            <w:tcW w:w="2835" w:type="dxa"/>
          </w:tcPr>
          <w:p w:rsidR="00191072" w:rsidRDefault="00191072" w:rsidP="00191072">
            <w:pPr>
              <w:rPr>
                <w:b/>
              </w:rPr>
            </w:pPr>
          </w:p>
        </w:tc>
        <w:tc>
          <w:tcPr>
            <w:tcW w:w="2835" w:type="dxa"/>
          </w:tcPr>
          <w:p w:rsidR="00191072" w:rsidRDefault="00191072" w:rsidP="00191072">
            <w:pPr>
              <w:rPr>
                <w:b/>
              </w:rPr>
            </w:pPr>
          </w:p>
        </w:tc>
        <w:tc>
          <w:tcPr>
            <w:tcW w:w="2835" w:type="dxa"/>
          </w:tcPr>
          <w:p w:rsidR="00191072" w:rsidRDefault="00191072" w:rsidP="00191072">
            <w:pPr>
              <w:rPr>
                <w:b/>
              </w:rPr>
            </w:pPr>
          </w:p>
        </w:tc>
        <w:tc>
          <w:tcPr>
            <w:tcW w:w="2835" w:type="dxa"/>
          </w:tcPr>
          <w:p w:rsidR="00191072" w:rsidRDefault="00191072" w:rsidP="00191072">
            <w:pPr>
              <w:rPr>
                <w:b/>
              </w:rPr>
            </w:pPr>
          </w:p>
        </w:tc>
      </w:tr>
      <w:tr w:rsidR="00191072" w:rsidTr="00191072">
        <w:tc>
          <w:tcPr>
            <w:tcW w:w="2834" w:type="dxa"/>
          </w:tcPr>
          <w:p w:rsidR="00191072" w:rsidRDefault="00191072" w:rsidP="00191072">
            <w:pPr>
              <w:rPr>
                <w:b/>
              </w:rPr>
            </w:pPr>
          </w:p>
          <w:p w:rsidR="00191072" w:rsidRDefault="00191072" w:rsidP="00191072">
            <w:pPr>
              <w:rPr>
                <w:b/>
              </w:rPr>
            </w:pPr>
          </w:p>
          <w:p w:rsidR="00533139" w:rsidRDefault="00533139" w:rsidP="00191072">
            <w:pPr>
              <w:rPr>
                <w:b/>
              </w:rPr>
            </w:pPr>
          </w:p>
          <w:p w:rsidR="00533139" w:rsidRDefault="00533139" w:rsidP="00191072">
            <w:pPr>
              <w:rPr>
                <w:b/>
              </w:rPr>
            </w:pPr>
          </w:p>
        </w:tc>
        <w:tc>
          <w:tcPr>
            <w:tcW w:w="2835" w:type="dxa"/>
          </w:tcPr>
          <w:p w:rsidR="00191072" w:rsidRDefault="00191072" w:rsidP="00191072">
            <w:pPr>
              <w:rPr>
                <w:b/>
              </w:rPr>
            </w:pPr>
          </w:p>
        </w:tc>
        <w:tc>
          <w:tcPr>
            <w:tcW w:w="2835" w:type="dxa"/>
          </w:tcPr>
          <w:p w:rsidR="00191072" w:rsidRDefault="00191072" w:rsidP="00191072">
            <w:pPr>
              <w:rPr>
                <w:b/>
              </w:rPr>
            </w:pPr>
          </w:p>
        </w:tc>
        <w:tc>
          <w:tcPr>
            <w:tcW w:w="2835" w:type="dxa"/>
          </w:tcPr>
          <w:p w:rsidR="00191072" w:rsidRDefault="00191072" w:rsidP="00191072">
            <w:pPr>
              <w:rPr>
                <w:b/>
              </w:rPr>
            </w:pPr>
          </w:p>
        </w:tc>
        <w:tc>
          <w:tcPr>
            <w:tcW w:w="2835" w:type="dxa"/>
          </w:tcPr>
          <w:p w:rsidR="00191072" w:rsidRDefault="00191072" w:rsidP="00191072">
            <w:pPr>
              <w:rPr>
                <w:b/>
              </w:rPr>
            </w:pPr>
          </w:p>
        </w:tc>
      </w:tr>
      <w:tr w:rsidR="00191072" w:rsidTr="00191072">
        <w:tc>
          <w:tcPr>
            <w:tcW w:w="2834" w:type="dxa"/>
          </w:tcPr>
          <w:p w:rsidR="00191072" w:rsidRDefault="00191072" w:rsidP="00191072">
            <w:pPr>
              <w:rPr>
                <w:b/>
              </w:rPr>
            </w:pPr>
          </w:p>
          <w:p w:rsidR="00533139" w:rsidRDefault="00533139" w:rsidP="00191072">
            <w:pPr>
              <w:rPr>
                <w:b/>
              </w:rPr>
            </w:pPr>
          </w:p>
          <w:p w:rsidR="00191072" w:rsidRDefault="00191072" w:rsidP="00191072">
            <w:pPr>
              <w:rPr>
                <w:b/>
              </w:rPr>
            </w:pPr>
          </w:p>
          <w:p w:rsidR="00533139" w:rsidRDefault="00533139" w:rsidP="00191072">
            <w:pPr>
              <w:rPr>
                <w:b/>
              </w:rPr>
            </w:pPr>
          </w:p>
        </w:tc>
        <w:tc>
          <w:tcPr>
            <w:tcW w:w="2835" w:type="dxa"/>
          </w:tcPr>
          <w:p w:rsidR="00191072" w:rsidRDefault="00191072" w:rsidP="00191072">
            <w:pPr>
              <w:rPr>
                <w:b/>
              </w:rPr>
            </w:pPr>
          </w:p>
        </w:tc>
        <w:tc>
          <w:tcPr>
            <w:tcW w:w="2835" w:type="dxa"/>
          </w:tcPr>
          <w:p w:rsidR="00191072" w:rsidRDefault="00191072" w:rsidP="00191072">
            <w:pPr>
              <w:rPr>
                <w:b/>
              </w:rPr>
            </w:pPr>
          </w:p>
        </w:tc>
        <w:tc>
          <w:tcPr>
            <w:tcW w:w="2835" w:type="dxa"/>
          </w:tcPr>
          <w:p w:rsidR="00191072" w:rsidRDefault="00191072" w:rsidP="00191072">
            <w:pPr>
              <w:rPr>
                <w:b/>
              </w:rPr>
            </w:pPr>
          </w:p>
        </w:tc>
        <w:tc>
          <w:tcPr>
            <w:tcW w:w="2835" w:type="dxa"/>
          </w:tcPr>
          <w:p w:rsidR="00191072" w:rsidRDefault="00191072" w:rsidP="00191072">
            <w:pPr>
              <w:rPr>
                <w:b/>
              </w:rPr>
            </w:pPr>
          </w:p>
        </w:tc>
      </w:tr>
      <w:tr w:rsidR="00191072" w:rsidTr="00191072">
        <w:tc>
          <w:tcPr>
            <w:tcW w:w="2834" w:type="dxa"/>
          </w:tcPr>
          <w:p w:rsidR="00191072" w:rsidRDefault="00191072" w:rsidP="00191072">
            <w:pPr>
              <w:rPr>
                <w:b/>
              </w:rPr>
            </w:pPr>
          </w:p>
          <w:p w:rsidR="00191072" w:rsidRDefault="00191072" w:rsidP="00191072">
            <w:pPr>
              <w:rPr>
                <w:b/>
              </w:rPr>
            </w:pPr>
          </w:p>
          <w:p w:rsidR="00533139" w:rsidRDefault="00533139" w:rsidP="00191072">
            <w:pPr>
              <w:rPr>
                <w:b/>
              </w:rPr>
            </w:pPr>
          </w:p>
          <w:p w:rsidR="00533139" w:rsidRDefault="00533139" w:rsidP="00191072">
            <w:pPr>
              <w:rPr>
                <w:b/>
              </w:rPr>
            </w:pPr>
          </w:p>
        </w:tc>
        <w:tc>
          <w:tcPr>
            <w:tcW w:w="2835" w:type="dxa"/>
          </w:tcPr>
          <w:p w:rsidR="00191072" w:rsidRDefault="00191072" w:rsidP="00191072">
            <w:pPr>
              <w:rPr>
                <w:b/>
              </w:rPr>
            </w:pPr>
          </w:p>
        </w:tc>
        <w:tc>
          <w:tcPr>
            <w:tcW w:w="2835" w:type="dxa"/>
          </w:tcPr>
          <w:p w:rsidR="00191072" w:rsidRDefault="00191072" w:rsidP="00191072">
            <w:pPr>
              <w:rPr>
                <w:b/>
              </w:rPr>
            </w:pPr>
          </w:p>
        </w:tc>
        <w:tc>
          <w:tcPr>
            <w:tcW w:w="2835" w:type="dxa"/>
          </w:tcPr>
          <w:p w:rsidR="00191072" w:rsidRDefault="00191072" w:rsidP="00191072">
            <w:pPr>
              <w:rPr>
                <w:b/>
              </w:rPr>
            </w:pPr>
          </w:p>
        </w:tc>
        <w:tc>
          <w:tcPr>
            <w:tcW w:w="2835" w:type="dxa"/>
          </w:tcPr>
          <w:p w:rsidR="00191072" w:rsidRDefault="00191072" w:rsidP="00191072">
            <w:pPr>
              <w:rPr>
                <w:b/>
              </w:rPr>
            </w:pPr>
          </w:p>
        </w:tc>
      </w:tr>
      <w:tr w:rsidR="00191072" w:rsidTr="00191072">
        <w:tc>
          <w:tcPr>
            <w:tcW w:w="2834" w:type="dxa"/>
          </w:tcPr>
          <w:p w:rsidR="00191072" w:rsidRDefault="00191072" w:rsidP="00191072">
            <w:pPr>
              <w:rPr>
                <w:b/>
              </w:rPr>
            </w:pPr>
          </w:p>
          <w:p w:rsidR="00191072" w:rsidRDefault="00191072" w:rsidP="00191072">
            <w:pPr>
              <w:rPr>
                <w:b/>
              </w:rPr>
            </w:pPr>
          </w:p>
          <w:p w:rsidR="00533139" w:rsidRDefault="00533139" w:rsidP="00191072">
            <w:pPr>
              <w:rPr>
                <w:b/>
              </w:rPr>
            </w:pPr>
          </w:p>
          <w:p w:rsidR="00533139" w:rsidRDefault="00533139" w:rsidP="00191072">
            <w:pPr>
              <w:rPr>
                <w:b/>
              </w:rPr>
            </w:pPr>
          </w:p>
        </w:tc>
        <w:tc>
          <w:tcPr>
            <w:tcW w:w="2835" w:type="dxa"/>
          </w:tcPr>
          <w:p w:rsidR="00191072" w:rsidRDefault="00191072" w:rsidP="00191072">
            <w:pPr>
              <w:rPr>
                <w:b/>
              </w:rPr>
            </w:pPr>
          </w:p>
        </w:tc>
        <w:tc>
          <w:tcPr>
            <w:tcW w:w="2835" w:type="dxa"/>
          </w:tcPr>
          <w:p w:rsidR="00191072" w:rsidRDefault="00191072" w:rsidP="00191072">
            <w:pPr>
              <w:rPr>
                <w:b/>
              </w:rPr>
            </w:pPr>
          </w:p>
        </w:tc>
        <w:tc>
          <w:tcPr>
            <w:tcW w:w="2835" w:type="dxa"/>
          </w:tcPr>
          <w:p w:rsidR="00191072" w:rsidRDefault="00191072" w:rsidP="00191072">
            <w:pPr>
              <w:rPr>
                <w:b/>
              </w:rPr>
            </w:pPr>
          </w:p>
        </w:tc>
        <w:tc>
          <w:tcPr>
            <w:tcW w:w="2835" w:type="dxa"/>
          </w:tcPr>
          <w:p w:rsidR="00191072" w:rsidRDefault="00191072" w:rsidP="00191072">
            <w:pPr>
              <w:rPr>
                <w:b/>
              </w:rPr>
            </w:pPr>
          </w:p>
        </w:tc>
      </w:tr>
    </w:tbl>
    <w:p w:rsidR="00191072" w:rsidRDefault="00191072" w:rsidP="00191072">
      <w:pPr>
        <w:rPr>
          <w:b/>
        </w:rPr>
      </w:pPr>
    </w:p>
    <w:p w:rsidR="00B52743" w:rsidRPr="00BE60D5" w:rsidRDefault="00BE60D5" w:rsidP="00BE60D5">
      <w:pPr>
        <w:jc w:val="both"/>
        <w:rPr>
          <w:i/>
        </w:rPr>
      </w:pPr>
      <w:r>
        <w:rPr>
          <w:i/>
        </w:rPr>
        <w:t xml:space="preserve">Summarise the information available that will be used in </w:t>
      </w:r>
      <w:r w:rsidR="00855FE1">
        <w:rPr>
          <w:i/>
        </w:rPr>
        <w:t xml:space="preserve">the </w:t>
      </w:r>
      <w:r>
        <w:rPr>
          <w:i/>
        </w:rPr>
        <w:t xml:space="preserve">mode of action analysis. Within the comments column you can </w:t>
      </w:r>
      <w:r w:rsidR="00855FE1">
        <w:rPr>
          <w:i/>
        </w:rPr>
        <w:t xml:space="preserve">also </w:t>
      </w:r>
      <w:r>
        <w:rPr>
          <w:i/>
        </w:rPr>
        <w:t xml:space="preserve">insert aspects on data reliability; however this should also be reflected in table 5d, within the explanatory text on confidence/uncertainty for each key event and the corresponding supporting data. </w:t>
      </w:r>
    </w:p>
    <w:p w:rsidR="003658C4" w:rsidRPr="003658C4" w:rsidRDefault="003658C4" w:rsidP="003658C4">
      <w:pPr>
        <w:spacing w:after="120"/>
        <w:jc w:val="both"/>
        <w:rPr>
          <w:b/>
        </w:rPr>
      </w:pPr>
      <w:r>
        <w:t xml:space="preserve">Example is available within </w:t>
      </w:r>
      <w:r w:rsidRPr="003658C4">
        <w:rPr>
          <w:i/>
        </w:rPr>
        <w:t xml:space="preserve">Part I </w:t>
      </w:r>
      <w:r>
        <w:rPr>
          <w:i/>
        </w:rPr>
        <w:t xml:space="preserve">case study (4-aminobiphenyl and DNA reactivity) of </w:t>
      </w:r>
      <w:r w:rsidRPr="003658C4">
        <w:rPr>
          <w:i/>
        </w:rPr>
        <w:t>Harmonisation Series Guidance available at:</w:t>
      </w:r>
      <w:r w:rsidRPr="003658C4">
        <w:rPr>
          <w:b/>
        </w:rPr>
        <w:t xml:space="preserve"> </w:t>
      </w:r>
      <w:hyperlink r:id="rId17" w:history="1">
        <w:r w:rsidRPr="003658C4">
          <w:rPr>
            <w:rStyle w:val="Hyperlink"/>
            <w:b/>
          </w:rPr>
          <w:t>http://www.who.int/ipcs/methods/harmonization/areas/cancer_mode.pdf?ua=1</w:t>
        </w:r>
      </w:hyperlink>
    </w:p>
    <w:p w:rsidR="00BE60D5" w:rsidRDefault="00BE60D5" w:rsidP="00BE60D5">
      <w:pPr>
        <w:jc w:val="both"/>
        <w:rPr>
          <w:b/>
        </w:rPr>
      </w:pPr>
    </w:p>
    <w:p w:rsidR="00191072" w:rsidRPr="00137FA4" w:rsidRDefault="00191072" w:rsidP="00191072">
      <w:pPr>
        <w:pStyle w:val="ListParagraph"/>
        <w:numPr>
          <w:ilvl w:val="0"/>
          <w:numId w:val="5"/>
        </w:numPr>
        <w:rPr>
          <w:b/>
        </w:rPr>
      </w:pPr>
      <w:r w:rsidRPr="001348C9">
        <w:rPr>
          <w:b/>
        </w:rPr>
        <w:lastRenderedPageBreak/>
        <w:t>Listing of key events identified for a specific Mode of Action</w:t>
      </w:r>
    </w:p>
    <w:tbl>
      <w:tblPr>
        <w:tblStyle w:val="TableGrid"/>
        <w:tblW w:w="0" w:type="auto"/>
        <w:tblLook w:val="04A0" w:firstRow="1" w:lastRow="0" w:firstColumn="1" w:lastColumn="0" w:noHBand="0" w:noVBand="1"/>
      </w:tblPr>
      <w:tblGrid>
        <w:gridCol w:w="3085"/>
        <w:gridCol w:w="8080"/>
      </w:tblGrid>
      <w:tr w:rsidR="00C4498D" w:rsidTr="00017AEC">
        <w:tc>
          <w:tcPr>
            <w:tcW w:w="3085" w:type="dxa"/>
          </w:tcPr>
          <w:p w:rsidR="00C4498D" w:rsidRPr="00B95BF0" w:rsidRDefault="00C4498D">
            <w:pPr>
              <w:rPr>
                <w:b/>
                <w:i/>
                <w:sz w:val="18"/>
                <w:szCs w:val="18"/>
              </w:rPr>
            </w:pPr>
            <w:r w:rsidRPr="00B95BF0">
              <w:rPr>
                <w:b/>
                <w:i/>
                <w:sz w:val="18"/>
                <w:szCs w:val="18"/>
              </w:rPr>
              <w:t>Key Event 1</w:t>
            </w:r>
          </w:p>
        </w:tc>
        <w:tc>
          <w:tcPr>
            <w:tcW w:w="8080" w:type="dxa"/>
          </w:tcPr>
          <w:p w:rsidR="00C4498D" w:rsidRDefault="00C4498D"/>
          <w:p w:rsidR="007B58E5" w:rsidRDefault="007B58E5"/>
          <w:p w:rsidR="007B58E5" w:rsidRDefault="007B58E5"/>
          <w:p w:rsidR="00B95BF0" w:rsidRDefault="00B95BF0"/>
        </w:tc>
      </w:tr>
      <w:tr w:rsidR="00C4498D" w:rsidTr="00017AEC">
        <w:tc>
          <w:tcPr>
            <w:tcW w:w="3085" w:type="dxa"/>
          </w:tcPr>
          <w:p w:rsidR="00C4498D" w:rsidRPr="00B95BF0" w:rsidRDefault="00C4498D">
            <w:pPr>
              <w:rPr>
                <w:b/>
                <w:i/>
                <w:sz w:val="18"/>
                <w:szCs w:val="18"/>
              </w:rPr>
            </w:pPr>
            <w:r w:rsidRPr="00B95BF0">
              <w:rPr>
                <w:b/>
                <w:i/>
                <w:sz w:val="18"/>
                <w:szCs w:val="18"/>
              </w:rPr>
              <w:t>Key Event 2</w:t>
            </w:r>
          </w:p>
        </w:tc>
        <w:tc>
          <w:tcPr>
            <w:tcW w:w="8080" w:type="dxa"/>
          </w:tcPr>
          <w:p w:rsidR="00C4498D" w:rsidRDefault="00C4498D"/>
          <w:p w:rsidR="007B58E5" w:rsidRDefault="007B58E5"/>
          <w:p w:rsidR="00B95BF0" w:rsidRDefault="00B95BF0"/>
          <w:p w:rsidR="007B58E5" w:rsidRDefault="007B58E5"/>
        </w:tc>
      </w:tr>
      <w:tr w:rsidR="00C4498D" w:rsidTr="00017AEC">
        <w:tc>
          <w:tcPr>
            <w:tcW w:w="3085" w:type="dxa"/>
          </w:tcPr>
          <w:p w:rsidR="00C4498D" w:rsidRPr="00B95BF0" w:rsidRDefault="00C4498D">
            <w:pPr>
              <w:rPr>
                <w:b/>
                <w:i/>
                <w:sz w:val="18"/>
                <w:szCs w:val="18"/>
              </w:rPr>
            </w:pPr>
            <w:r w:rsidRPr="00B95BF0">
              <w:rPr>
                <w:b/>
                <w:i/>
                <w:sz w:val="18"/>
                <w:szCs w:val="18"/>
              </w:rPr>
              <w:t>Key Event 3</w:t>
            </w:r>
          </w:p>
        </w:tc>
        <w:tc>
          <w:tcPr>
            <w:tcW w:w="8080" w:type="dxa"/>
          </w:tcPr>
          <w:p w:rsidR="00C4498D" w:rsidRDefault="00C4498D"/>
          <w:p w:rsidR="007B58E5" w:rsidRDefault="007B58E5"/>
          <w:p w:rsidR="00B95BF0" w:rsidRDefault="00B95BF0"/>
          <w:p w:rsidR="007B58E5" w:rsidRDefault="007B58E5"/>
        </w:tc>
      </w:tr>
      <w:tr w:rsidR="00C4498D" w:rsidTr="00017AEC">
        <w:tc>
          <w:tcPr>
            <w:tcW w:w="3085" w:type="dxa"/>
          </w:tcPr>
          <w:p w:rsidR="00C4498D" w:rsidRPr="00B95BF0" w:rsidRDefault="00C4498D">
            <w:pPr>
              <w:rPr>
                <w:b/>
                <w:i/>
                <w:sz w:val="18"/>
                <w:szCs w:val="18"/>
              </w:rPr>
            </w:pPr>
            <w:r w:rsidRPr="00B95BF0">
              <w:rPr>
                <w:b/>
                <w:i/>
                <w:sz w:val="18"/>
                <w:szCs w:val="18"/>
              </w:rPr>
              <w:t>Key Event 4</w:t>
            </w:r>
          </w:p>
        </w:tc>
        <w:tc>
          <w:tcPr>
            <w:tcW w:w="8080" w:type="dxa"/>
          </w:tcPr>
          <w:p w:rsidR="00C4498D" w:rsidRDefault="00C4498D"/>
          <w:p w:rsidR="007B58E5" w:rsidRDefault="007B58E5"/>
          <w:p w:rsidR="00B95BF0" w:rsidRDefault="00B95BF0"/>
          <w:p w:rsidR="007B58E5" w:rsidRDefault="007B58E5"/>
        </w:tc>
      </w:tr>
    </w:tbl>
    <w:p w:rsidR="00137FA4" w:rsidRDefault="00137FA4" w:rsidP="00B417F3">
      <w:pPr>
        <w:jc w:val="both"/>
        <w:rPr>
          <w:i/>
        </w:rPr>
      </w:pPr>
    </w:p>
    <w:p w:rsidR="000B5893" w:rsidRDefault="00B81BDE" w:rsidP="00B417F3">
      <w:pPr>
        <w:jc w:val="both"/>
        <w:rPr>
          <w:i/>
        </w:rPr>
      </w:pPr>
      <w:r>
        <w:rPr>
          <w:i/>
        </w:rPr>
        <w:t>Following c</w:t>
      </w:r>
      <w:r w:rsidR="001348C9" w:rsidRPr="001348C9">
        <w:rPr>
          <w:i/>
        </w:rPr>
        <w:t>ollect</w:t>
      </w:r>
      <w:r>
        <w:rPr>
          <w:i/>
        </w:rPr>
        <w:t>ion of</w:t>
      </w:r>
      <w:r w:rsidR="001348C9" w:rsidRPr="001348C9">
        <w:rPr>
          <w:i/>
        </w:rPr>
        <w:t xml:space="preserve"> all available information, analyse and map the available data and information per key event identified for a specific </w:t>
      </w:r>
      <w:r>
        <w:rPr>
          <w:i/>
        </w:rPr>
        <w:t xml:space="preserve">hypothesised </w:t>
      </w:r>
      <w:r w:rsidR="001348C9" w:rsidRPr="001348C9">
        <w:rPr>
          <w:i/>
        </w:rPr>
        <w:t>mode of action</w:t>
      </w:r>
      <w:r w:rsidR="00DC1B44">
        <w:rPr>
          <w:i/>
        </w:rPr>
        <w:t>.</w:t>
      </w:r>
    </w:p>
    <w:p w:rsidR="00EC5F44" w:rsidRDefault="00EC5F44" w:rsidP="00EC5F44">
      <w:pPr>
        <w:jc w:val="both"/>
        <w:rPr>
          <w:i/>
        </w:rPr>
      </w:pPr>
      <w:r>
        <w:rPr>
          <w:i/>
        </w:rPr>
        <w:t xml:space="preserve">According to WHO/IPCS MoA framework, key events are measurable events that are critical to the induction of </w:t>
      </w:r>
      <w:r w:rsidR="00E411EA">
        <w:rPr>
          <w:i/>
        </w:rPr>
        <w:t>the (adverse) effect</w:t>
      </w:r>
    </w:p>
    <w:p w:rsidR="00DC1B44" w:rsidRDefault="00DC1B44" w:rsidP="00B417F3">
      <w:pPr>
        <w:jc w:val="both"/>
        <w:rPr>
          <w:i/>
        </w:rPr>
      </w:pPr>
      <w:r>
        <w:rPr>
          <w:i/>
        </w:rPr>
        <w:t>List key events in order from earlie</w:t>
      </w:r>
      <w:r w:rsidR="00264FA5">
        <w:rPr>
          <w:i/>
        </w:rPr>
        <w:t>st</w:t>
      </w:r>
      <w:r>
        <w:rPr>
          <w:i/>
        </w:rPr>
        <w:t xml:space="preserve"> to latest key event; Last key event should be the (adverse) effect.</w:t>
      </w:r>
      <w:r w:rsidR="00EC5F44">
        <w:rPr>
          <w:i/>
        </w:rPr>
        <w:t xml:space="preserve"> Provide a short name for each key event that will be used in the tables further below. </w:t>
      </w:r>
    </w:p>
    <w:p w:rsidR="003658C4" w:rsidRPr="003658C4" w:rsidRDefault="003658C4" w:rsidP="003658C4">
      <w:pPr>
        <w:spacing w:after="120"/>
        <w:jc w:val="both"/>
        <w:rPr>
          <w:b/>
        </w:rPr>
      </w:pPr>
      <w:r>
        <w:t xml:space="preserve">Example is available within </w:t>
      </w:r>
      <w:r w:rsidRPr="003658C4">
        <w:rPr>
          <w:i/>
        </w:rPr>
        <w:t xml:space="preserve">Part I </w:t>
      </w:r>
      <w:r>
        <w:rPr>
          <w:i/>
        </w:rPr>
        <w:t xml:space="preserve">case study (4-aminobiphenyl and DNA reactivity) of </w:t>
      </w:r>
      <w:r w:rsidRPr="003658C4">
        <w:rPr>
          <w:i/>
        </w:rPr>
        <w:t>Harmonisation Series Guidance available at:</w:t>
      </w:r>
      <w:r w:rsidRPr="003658C4">
        <w:rPr>
          <w:b/>
        </w:rPr>
        <w:t xml:space="preserve"> </w:t>
      </w:r>
      <w:hyperlink r:id="rId18" w:history="1">
        <w:r w:rsidRPr="003658C4">
          <w:rPr>
            <w:rStyle w:val="Hyperlink"/>
            <w:b/>
          </w:rPr>
          <w:t>http://www.who.int/ipcs/methods/harmonization/areas/cancer_mode.pdf?ua=1</w:t>
        </w:r>
      </w:hyperlink>
    </w:p>
    <w:p w:rsidR="007B58E5" w:rsidRDefault="007B58E5">
      <w:pPr>
        <w:rPr>
          <w:i/>
        </w:rPr>
      </w:pPr>
    </w:p>
    <w:p w:rsidR="007B58E5" w:rsidRDefault="003658C4">
      <w:pPr>
        <w:rPr>
          <w:b/>
        </w:rPr>
      </w:pPr>
      <w:r>
        <w:rPr>
          <w:i/>
        </w:rPr>
        <w:t xml:space="preserve"> </w:t>
      </w:r>
    </w:p>
    <w:p w:rsidR="007B58E5" w:rsidRPr="00657C6F" w:rsidRDefault="00DE5FAE" w:rsidP="007B58E5">
      <w:pPr>
        <w:pStyle w:val="ListParagraph"/>
        <w:numPr>
          <w:ilvl w:val="0"/>
          <w:numId w:val="5"/>
        </w:numPr>
        <w:jc w:val="center"/>
        <w:rPr>
          <w:b/>
        </w:rPr>
      </w:pPr>
      <w:r w:rsidRPr="00DE5FAE">
        <w:rPr>
          <w:b/>
        </w:rPr>
        <w:lastRenderedPageBreak/>
        <w:t>Bradford Hill Considerations for Weight of Evidence Analysis of available data/information for Mode of Action A</w:t>
      </w:r>
      <w:r w:rsidR="007B58E5">
        <w:rPr>
          <w:b/>
        </w:rPr>
        <w:t>nalysis in experimental species</w:t>
      </w:r>
    </w:p>
    <w:p w:rsidR="008A278E" w:rsidRDefault="00D73D82">
      <w:pPr>
        <w:rPr>
          <w:b/>
        </w:rPr>
      </w:pPr>
      <w:r>
        <w:rPr>
          <w:b/>
        </w:rPr>
        <w:t>5</w:t>
      </w:r>
      <w:r w:rsidR="00DE5FAE">
        <w:rPr>
          <w:b/>
        </w:rPr>
        <w:t xml:space="preserve">a. </w:t>
      </w:r>
      <w:r w:rsidR="008A278E" w:rsidRPr="008A278E">
        <w:rPr>
          <w:b/>
        </w:rPr>
        <w:t>Dose Response Relationships</w:t>
      </w:r>
      <w:r w:rsidR="00021197">
        <w:rPr>
          <w:b/>
        </w:rPr>
        <w:t xml:space="preserve"> </w:t>
      </w:r>
      <w:r w:rsidR="008A278E" w:rsidRPr="008A278E">
        <w:rPr>
          <w:b/>
        </w:rPr>
        <w:t>and Temporal Association</w:t>
      </w:r>
    </w:p>
    <w:p w:rsidR="000408A7" w:rsidRDefault="004D58B1" w:rsidP="004D58B1">
      <w:pPr>
        <w:jc w:val="both"/>
        <w:rPr>
          <w:i/>
        </w:rPr>
      </w:pPr>
      <w:r>
        <w:rPr>
          <w:i/>
        </w:rPr>
        <w:t>In this section, concordance of dose-response relationships together with temporal association will be presented. Try to correlate the dependency of each key events with dose (increasing severity with increasing dose can be shown for each key event vertically) as well as the temporal relationships for each of the key events and the final (adverse) effect (</w:t>
      </w:r>
      <w:r w:rsidR="00121B13">
        <w:rPr>
          <w:i/>
        </w:rPr>
        <w:t xml:space="preserve">i.e. key events occur in sequence </w:t>
      </w:r>
      <w:r>
        <w:rPr>
          <w:i/>
        </w:rPr>
        <w:t>earlier key events appear</w:t>
      </w:r>
      <w:r w:rsidR="00121B13">
        <w:rPr>
          <w:i/>
        </w:rPr>
        <w:t>ing</w:t>
      </w:r>
      <w:r>
        <w:rPr>
          <w:i/>
        </w:rPr>
        <w:t xml:space="preserve"> before late</w:t>
      </w:r>
      <w:r w:rsidR="00021197">
        <w:rPr>
          <w:i/>
        </w:rPr>
        <w:t>r</w:t>
      </w:r>
      <w:r>
        <w:rPr>
          <w:i/>
        </w:rPr>
        <w:t xml:space="preserve"> key events</w:t>
      </w:r>
      <w:r w:rsidR="00121B13">
        <w:rPr>
          <w:i/>
        </w:rPr>
        <w:t>. T</w:t>
      </w:r>
      <w:r>
        <w:rPr>
          <w:i/>
        </w:rPr>
        <w:t>his can be shown by looking for each dose</w:t>
      </w:r>
      <w:r w:rsidR="00121B13">
        <w:rPr>
          <w:i/>
        </w:rPr>
        <w:t>,</w:t>
      </w:r>
      <w:r>
        <w:rPr>
          <w:i/>
        </w:rPr>
        <w:t xml:space="preserve"> horizontally</w:t>
      </w:r>
      <w:r w:rsidR="00121B13">
        <w:rPr>
          <w:i/>
        </w:rPr>
        <w:t xml:space="preserve"> across the table,</w:t>
      </w:r>
      <w:r>
        <w:rPr>
          <w:i/>
        </w:rPr>
        <w:t xml:space="preserve"> the time </w:t>
      </w:r>
      <w:r w:rsidR="00121B13">
        <w:rPr>
          <w:i/>
        </w:rPr>
        <w:t xml:space="preserve">at which </w:t>
      </w:r>
      <w:r>
        <w:rPr>
          <w:i/>
        </w:rPr>
        <w:t>each key event occurs).</w:t>
      </w:r>
      <w:r w:rsidR="005A4439">
        <w:rPr>
          <w:i/>
        </w:rPr>
        <w:t xml:space="preserve"> A key event cannot play a role in an (adverse) effect if it is manifest</w:t>
      </w:r>
      <w:r w:rsidR="00264FA5">
        <w:rPr>
          <w:i/>
        </w:rPr>
        <w:t>ed</w:t>
      </w:r>
      <w:r w:rsidR="005A4439">
        <w:rPr>
          <w:i/>
        </w:rPr>
        <w:t xml:space="preserve"> only after toxicity has occurred or if it occurs only at doses higher than those inducing toxicity. </w:t>
      </w:r>
    </w:p>
    <w:p w:rsidR="00B618D7" w:rsidRDefault="00B618D7" w:rsidP="004D58B1">
      <w:pPr>
        <w:jc w:val="both"/>
        <w:rPr>
          <w:i/>
        </w:rPr>
      </w:pPr>
      <w:r w:rsidRPr="00142ED0">
        <w:rPr>
          <w:b/>
          <w:i/>
        </w:rPr>
        <w:t>Dose response relationship</w:t>
      </w:r>
      <w:r>
        <w:rPr>
          <w:i/>
        </w:rPr>
        <w:t>: Are the key events observed at doses below or similar to those associated with the (adverse) effect?</w:t>
      </w:r>
    </w:p>
    <w:p w:rsidR="00B618D7" w:rsidRPr="004D58B1" w:rsidRDefault="00B618D7" w:rsidP="004D58B1">
      <w:pPr>
        <w:jc w:val="both"/>
        <w:rPr>
          <w:i/>
        </w:rPr>
      </w:pPr>
      <w:r w:rsidRPr="00142ED0">
        <w:rPr>
          <w:b/>
          <w:i/>
        </w:rPr>
        <w:t>Temporal association</w:t>
      </w:r>
      <w:r>
        <w:rPr>
          <w:i/>
        </w:rPr>
        <w:t>: Are the key events observed in hypothesised order?</w:t>
      </w:r>
    </w:p>
    <w:p w:rsidR="00B81BDE" w:rsidRPr="00943CF6" w:rsidRDefault="00B81BDE">
      <w:r w:rsidRPr="00943CF6">
        <w:br w:type="page"/>
      </w:r>
    </w:p>
    <w:p w:rsidR="00191072" w:rsidRPr="004D58B1" w:rsidRDefault="00191072">
      <w:pPr>
        <w:rPr>
          <w:b/>
        </w:rPr>
      </w:pPr>
      <w:r w:rsidRPr="004D58B1">
        <w:rPr>
          <w:b/>
        </w:rPr>
        <w:lastRenderedPageBreak/>
        <w:t>Species (name)</w:t>
      </w:r>
    </w:p>
    <w:tbl>
      <w:tblPr>
        <w:tblStyle w:val="TableGrid"/>
        <w:tblW w:w="0" w:type="auto"/>
        <w:tblLook w:val="04A0" w:firstRow="1" w:lastRow="0" w:firstColumn="1" w:lastColumn="0" w:noHBand="0" w:noVBand="1"/>
      </w:tblPr>
      <w:tblGrid>
        <w:gridCol w:w="1848"/>
        <w:gridCol w:w="2371"/>
        <w:gridCol w:w="2268"/>
        <w:gridCol w:w="2268"/>
        <w:gridCol w:w="2268"/>
      </w:tblGrid>
      <w:tr w:rsidR="008A278E" w:rsidTr="00017AEC">
        <w:tc>
          <w:tcPr>
            <w:tcW w:w="1848" w:type="dxa"/>
          </w:tcPr>
          <w:p w:rsidR="008A278E" w:rsidRPr="00B95BF0" w:rsidRDefault="008A278E">
            <w:pPr>
              <w:rPr>
                <w:b/>
                <w:i/>
                <w:sz w:val="18"/>
                <w:szCs w:val="18"/>
              </w:rPr>
            </w:pPr>
            <w:r w:rsidRPr="00B95BF0">
              <w:rPr>
                <w:b/>
                <w:i/>
                <w:sz w:val="18"/>
                <w:szCs w:val="18"/>
              </w:rPr>
              <w:t>Dose (units)</w:t>
            </w:r>
          </w:p>
        </w:tc>
        <w:tc>
          <w:tcPr>
            <w:tcW w:w="2371" w:type="dxa"/>
          </w:tcPr>
          <w:p w:rsidR="008A278E" w:rsidRPr="00B95BF0" w:rsidRDefault="008A278E">
            <w:pPr>
              <w:rPr>
                <w:b/>
                <w:i/>
                <w:sz w:val="18"/>
                <w:szCs w:val="18"/>
              </w:rPr>
            </w:pPr>
            <w:r w:rsidRPr="00B95BF0">
              <w:rPr>
                <w:b/>
                <w:i/>
                <w:sz w:val="18"/>
                <w:szCs w:val="18"/>
              </w:rPr>
              <w:t>Key Event 1</w:t>
            </w:r>
            <w:r w:rsidR="009664A8" w:rsidRPr="00B95BF0">
              <w:rPr>
                <w:b/>
                <w:i/>
                <w:sz w:val="18"/>
                <w:szCs w:val="18"/>
              </w:rPr>
              <w:t xml:space="preserve"> (time observed</w:t>
            </w:r>
            <w:r w:rsidR="00F006B0">
              <w:rPr>
                <w:b/>
                <w:i/>
                <w:sz w:val="18"/>
                <w:szCs w:val="18"/>
              </w:rPr>
              <w:t xml:space="preserve"> and severity</w:t>
            </w:r>
            <w:r w:rsidR="009664A8" w:rsidRPr="00B95BF0">
              <w:rPr>
                <w:b/>
                <w:i/>
                <w:sz w:val="18"/>
                <w:szCs w:val="18"/>
              </w:rPr>
              <w:t>)</w:t>
            </w:r>
          </w:p>
        </w:tc>
        <w:tc>
          <w:tcPr>
            <w:tcW w:w="2268" w:type="dxa"/>
          </w:tcPr>
          <w:p w:rsidR="008A278E" w:rsidRPr="00B95BF0" w:rsidRDefault="008A278E">
            <w:pPr>
              <w:rPr>
                <w:b/>
                <w:i/>
                <w:sz w:val="18"/>
                <w:szCs w:val="18"/>
              </w:rPr>
            </w:pPr>
            <w:r w:rsidRPr="00B95BF0">
              <w:rPr>
                <w:b/>
                <w:i/>
                <w:sz w:val="18"/>
                <w:szCs w:val="18"/>
              </w:rPr>
              <w:t>Key Event 2</w:t>
            </w:r>
            <w:r w:rsidR="009664A8" w:rsidRPr="00B95BF0">
              <w:rPr>
                <w:b/>
                <w:i/>
                <w:sz w:val="18"/>
                <w:szCs w:val="18"/>
              </w:rPr>
              <w:t>(time observed</w:t>
            </w:r>
            <w:r w:rsidR="00F006B0">
              <w:rPr>
                <w:b/>
                <w:i/>
                <w:sz w:val="18"/>
                <w:szCs w:val="18"/>
              </w:rPr>
              <w:t xml:space="preserve"> and severity</w:t>
            </w:r>
            <w:r w:rsidR="009664A8" w:rsidRPr="00B95BF0">
              <w:rPr>
                <w:b/>
                <w:i/>
                <w:sz w:val="18"/>
                <w:szCs w:val="18"/>
              </w:rPr>
              <w:t>)</w:t>
            </w:r>
          </w:p>
        </w:tc>
        <w:tc>
          <w:tcPr>
            <w:tcW w:w="2268" w:type="dxa"/>
          </w:tcPr>
          <w:p w:rsidR="008A278E" w:rsidRPr="00B95BF0" w:rsidRDefault="008A278E">
            <w:pPr>
              <w:rPr>
                <w:b/>
                <w:i/>
                <w:sz w:val="18"/>
                <w:szCs w:val="18"/>
              </w:rPr>
            </w:pPr>
            <w:r w:rsidRPr="00B95BF0">
              <w:rPr>
                <w:b/>
                <w:i/>
                <w:sz w:val="18"/>
                <w:szCs w:val="18"/>
              </w:rPr>
              <w:t>Key Event 3</w:t>
            </w:r>
            <w:r w:rsidR="009664A8" w:rsidRPr="00B95BF0">
              <w:rPr>
                <w:b/>
                <w:i/>
                <w:sz w:val="18"/>
                <w:szCs w:val="18"/>
              </w:rPr>
              <w:t>(time observed</w:t>
            </w:r>
            <w:r w:rsidR="00F006B0">
              <w:rPr>
                <w:b/>
                <w:i/>
                <w:sz w:val="18"/>
                <w:szCs w:val="18"/>
              </w:rPr>
              <w:t xml:space="preserve"> and severity</w:t>
            </w:r>
            <w:r w:rsidR="009664A8" w:rsidRPr="00B95BF0">
              <w:rPr>
                <w:b/>
                <w:i/>
                <w:sz w:val="18"/>
                <w:szCs w:val="18"/>
              </w:rPr>
              <w:t>)</w:t>
            </w:r>
          </w:p>
        </w:tc>
        <w:tc>
          <w:tcPr>
            <w:tcW w:w="2268" w:type="dxa"/>
          </w:tcPr>
          <w:p w:rsidR="008A278E" w:rsidRPr="00B95BF0" w:rsidRDefault="008A278E">
            <w:pPr>
              <w:rPr>
                <w:b/>
                <w:i/>
                <w:sz w:val="18"/>
                <w:szCs w:val="18"/>
              </w:rPr>
            </w:pPr>
            <w:r w:rsidRPr="00B95BF0">
              <w:rPr>
                <w:b/>
                <w:i/>
                <w:sz w:val="18"/>
                <w:szCs w:val="18"/>
              </w:rPr>
              <w:t>Key Event 4</w:t>
            </w:r>
            <w:r w:rsidR="009664A8" w:rsidRPr="00B95BF0">
              <w:rPr>
                <w:b/>
                <w:i/>
                <w:sz w:val="18"/>
                <w:szCs w:val="18"/>
              </w:rPr>
              <w:t>(time observed</w:t>
            </w:r>
            <w:r w:rsidR="00F006B0">
              <w:rPr>
                <w:b/>
                <w:i/>
                <w:sz w:val="18"/>
                <w:szCs w:val="18"/>
              </w:rPr>
              <w:t xml:space="preserve"> and severity</w:t>
            </w:r>
            <w:r w:rsidR="009664A8" w:rsidRPr="00B95BF0">
              <w:rPr>
                <w:b/>
                <w:i/>
                <w:sz w:val="18"/>
                <w:szCs w:val="18"/>
              </w:rPr>
              <w:t>)</w:t>
            </w:r>
          </w:p>
        </w:tc>
      </w:tr>
      <w:tr w:rsidR="008A278E" w:rsidTr="00017AEC">
        <w:tc>
          <w:tcPr>
            <w:tcW w:w="1848" w:type="dxa"/>
          </w:tcPr>
          <w:p w:rsidR="008A278E" w:rsidRDefault="008A278E"/>
          <w:p w:rsidR="007B58E5" w:rsidRDefault="007B58E5"/>
          <w:p w:rsidR="00B52743" w:rsidRDefault="00B52743"/>
          <w:p w:rsidR="00B52743" w:rsidRDefault="00B52743"/>
          <w:p w:rsidR="00B52743" w:rsidRDefault="00B52743"/>
          <w:p w:rsidR="00B52743" w:rsidRDefault="00B52743"/>
          <w:p w:rsidR="00B52743" w:rsidRDefault="00B52743"/>
        </w:tc>
        <w:tc>
          <w:tcPr>
            <w:tcW w:w="2371" w:type="dxa"/>
          </w:tcPr>
          <w:p w:rsidR="008A278E" w:rsidRDefault="008A278E"/>
        </w:tc>
        <w:tc>
          <w:tcPr>
            <w:tcW w:w="2268" w:type="dxa"/>
          </w:tcPr>
          <w:p w:rsidR="008A278E" w:rsidRDefault="008A278E"/>
        </w:tc>
        <w:tc>
          <w:tcPr>
            <w:tcW w:w="2268" w:type="dxa"/>
          </w:tcPr>
          <w:p w:rsidR="008A278E" w:rsidRDefault="008A278E"/>
        </w:tc>
        <w:tc>
          <w:tcPr>
            <w:tcW w:w="2268" w:type="dxa"/>
          </w:tcPr>
          <w:p w:rsidR="008A278E" w:rsidRDefault="008A278E"/>
        </w:tc>
      </w:tr>
      <w:tr w:rsidR="008A278E" w:rsidTr="00017AEC">
        <w:tc>
          <w:tcPr>
            <w:tcW w:w="1848" w:type="dxa"/>
          </w:tcPr>
          <w:p w:rsidR="008A278E" w:rsidRDefault="008A278E"/>
          <w:p w:rsidR="00B52743" w:rsidRDefault="00B52743"/>
          <w:p w:rsidR="00B52743" w:rsidRDefault="00B52743"/>
          <w:p w:rsidR="00B52743" w:rsidRDefault="00B52743"/>
          <w:p w:rsidR="00B52743" w:rsidRDefault="00B52743"/>
          <w:p w:rsidR="007B58E5" w:rsidRDefault="007B58E5"/>
        </w:tc>
        <w:tc>
          <w:tcPr>
            <w:tcW w:w="2371" w:type="dxa"/>
          </w:tcPr>
          <w:p w:rsidR="008A278E" w:rsidRDefault="008A278E"/>
        </w:tc>
        <w:tc>
          <w:tcPr>
            <w:tcW w:w="2268" w:type="dxa"/>
          </w:tcPr>
          <w:p w:rsidR="008A278E" w:rsidRDefault="008A278E"/>
        </w:tc>
        <w:tc>
          <w:tcPr>
            <w:tcW w:w="2268" w:type="dxa"/>
          </w:tcPr>
          <w:p w:rsidR="008A278E" w:rsidRDefault="008A278E"/>
        </w:tc>
        <w:tc>
          <w:tcPr>
            <w:tcW w:w="2268" w:type="dxa"/>
          </w:tcPr>
          <w:p w:rsidR="008A278E" w:rsidRDefault="008A278E"/>
        </w:tc>
      </w:tr>
      <w:tr w:rsidR="008A278E" w:rsidTr="00017AEC">
        <w:tc>
          <w:tcPr>
            <w:tcW w:w="1848" w:type="dxa"/>
          </w:tcPr>
          <w:p w:rsidR="008A278E" w:rsidRDefault="008A278E"/>
          <w:p w:rsidR="007B58E5" w:rsidRDefault="007B58E5"/>
          <w:p w:rsidR="00B52743" w:rsidRDefault="00B52743"/>
          <w:p w:rsidR="00B52743" w:rsidRDefault="00B52743"/>
          <w:p w:rsidR="00B52743" w:rsidRDefault="00B52743"/>
          <w:p w:rsidR="00B52743" w:rsidRDefault="00B52743"/>
          <w:p w:rsidR="00B52743" w:rsidRDefault="00B52743"/>
        </w:tc>
        <w:tc>
          <w:tcPr>
            <w:tcW w:w="2371" w:type="dxa"/>
          </w:tcPr>
          <w:p w:rsidR="008A278E" w:rsidRDefault="008A278E"/>
        </w:tc>
        <w:tc>
          <w:tcPr>
            <w:tcW w:w="2268" w:type="dxa"/>
          </w:tcPr>
          <w:p w:rsidR="008A278E" w:rsidRDefault="008A278E"/>
        </w:tc>
        <w:tc>
          <w:tcPr>
            <w:tcW w:w="2268" w:type="dxa"/>
          </w:tcPr>
          <w:p w:rsidR="008A278E" w:rsidRDefault="008A278E"/>
        </w:tc>
        <w:tc>
          <w:tcPr>
            <w:tcW w:w="2268" w:type="dxa"/>
          </w:tcPr>
          <w:p w:rsidR="008A278E" w:rsidRDefault="008A278E"/>
        </w:tc>
      </w:tr>
    </w:tbl>
    <w:p w:rsidR="00B618D7" w:rsidRDefault="00B618D7" w:rsidP="00B417F3">
      <w:pPr>
        <w:jc w:val="both"/>
        <w:rPr>
          <w:i/>
        </w:rPr>
      </w:pPr>
    </w:p>
    <w:p w:rsidR="003658C4" w:rsidRDefault="00CA3EE7" w:rsidP="00B417F3">
      <w:pPr>
        <w:jc w:val="both"/>
        <w:rPr>
          <w:i/>
        </w:rPr>
      </w:pPr>
      <w:r>
        <w:rPr>
          <w:i/>
        </w:rPr>
        <w:t>If needed</w:t>
      </w:r>
      <w:r w:rsidR="00275515">
        <w:rPr>
          <w:i/>
        </w:rPr>
        <w:t>,</w:t>
      </w:r>
      <w:r>
        <w:rPr>
          <w:i/>
        </w:rPr>
        <w:t xml:space="preserve"> r</w:t>
      </w:r>
      <w:r w:rsidR="00B52743" w:rsidRPr="00B52743">
        <w:rPr>
          <w:i/>
        </w:rPr>
        <w:t xml:space="preserve">epeat table </w:t>
      </w:r>
      <w:r w:rsidR="00264FA5">
        <w:rPr>
          <w:i/>
        </w:rPr>
        <w:t>where</w:t>
      </w:r>
      <w:r w:rsidR="00B52743" w:rsidRPr="00B52743">
        <w:rPr>
          <w:i/>
        </w:rPr>
        <w:t xml:space="preserve"> information on dose-response relationships and temporal association is available for additional species</w:t>
      </w:r>
      <w:r w:rsidR="00B87ACB">
        <w:rPr>
          <w:i/>
        </w:rPr>
        <w:t>/systems</w:t>
      </w:r>
      <w:r w:rsidR="00DC1B44">
        <w:rPr>
          <w:i/>
        </w:rPr>
        <w:t>.</w:t>
      </w:r>
      <w:r w:rsidR="007802EF">
        <w:rPr>
          <w:i/>
        </w:rPr>
        <w:t xml:space="preserve"> </w:t>
      </w:r>
    </w:p>
    <w:p w:rsidR="003658C4" w:rsidRPr="00D96D3F" w:rsidRDefault="003658C4" w:rsidP="003658C4">
      <w:pPr>
        <w:pStyle w:val="NormalWeb"/>
        <w:spacing w:before="0" w:beforeAutospacing="0" w:after="120" w:afterAutospacing="0"/>
        <w:rPr>
          <w:lang w:val="en"/>
        </w:rPr>
      </w:pPr>
      <w:r w:rsidRPr="003658C4">
        <w:rPr>
          <w:rFonts w:asciiTheme="minorHAnsi" w:eastAsiaTheme="minorHAnsi" w:hAnsiTheme="minorHAnsi" w:cstheme="minorBidi"/>
          <w:i/>
          <w:sz w:val="22"/>
          <w:szCs w:val="22"/>
          <w:lang w:eastAsia="en-US"/>
        </w:rPr>
        <w:t xml:space="preserve">See example </w:t>
      </w:r>
      <w:r w:rsidR="00430763">
        <w:rPr>
          <w:rFonts w:asciiTheme="minorHAnsi" w:eastAsiaTheme="minorHAnsi" w:hAnsiTheme="minorHAnsi" w:cstheme="minorBidi"/>
          <w:i/>
          <w:sz w:val="22"/>
          <w:szCs w:val="22"/>
          <w:lang w:eastAsia="en-US"/>
        </w:rPr>
        <w:t xml:space="preserve">in </w:t>
      </w:r>
      <w:r w:rsidR="00430763" w:rsidRPr="00430763">
        <w:rPr>
          <w:rFonts w:asciiTheme="minorHAnsi" w:eastAsiaTheme="minorHAnsi" w:hAnsiTheme="minorHAnsi" w:cstheme="minorBidi"/>
          <w:i/>
          <w:sz w:val="22"/>
          <w:szCs w:val="22"/>
          <w:u w:val="single"/>
          <w:lang w:eastAsia="en-US"/>
        </w:rPr>
        <w:t>figure</w:t>
      </w:r>
      <w:r w:rsidRPr="00430763">
        <w:rPr>
          <w:rFonts w:asciiTheme="minorHAnsi" w:eastAsiaTheme="minorHAnsi" w:hAnsiTheme="minorHAnsi" w:cstheme="minorBidi"/>
          <w:i/>
          <w:sz w:val="22"/>
          <w:szCs w:val="22"/>
          <w:u w:val="single"/>
          <w:lang w:eastAsia="en-US"/>
        </w:rPr>
        <w:t xml:space="preserve"> 5</w:t>
      </w:r>
      <w:r>
        <w:t xml:space="preserve"> </w:t>
      </w:r>
      <w:r w:rsidRPr="003658C4">
        <w:rPr>
          <w:rFonts w:asciiTheme="minorHAnsi" w:eastAsiaTheme="minorHAnsi" w:hAnsiTheme="minorHAnsi" w:cstheme="minorBidi"/>
          <w:i/>
          <w:sz w:val="22"/>
          <w:szCs w:val="22"/>
          <w:lang w:eastAsia="en-US"/>
        </w:rPr>
        <w:t>within</w:t>
      </w:r>
      <w:r>
        <w:rPr>
          <w:rFonts w:asciiTheme="minorHAnsi" w:eastAsiaTheme="minorHAnsi" w:hAnsiTheme="minorHAnsi" w:cstheme="minorBidi"/>
          <w:i/>
          <w:sz w:val="22"/>
          <w:szCs w:val="22"/>
          <w:lang w:eastAsia="en-US"/>
        </w:rPr>
        <w:t xml:space="preserve">: </w:t>
      </w:r>
      <w:r w:rsidRPr="003658C4">
        <w:rPr>
          <w:rFonts w:asciiTheme="minorHAnsi" w:eastAsiaTheme="minorHAnsi" w:hAnsiTheme="minorHAnsi" w:cstheme="minorBidi"/>
          <w:i/>
          <w:sz w:val="22"/>
          <w:szCs w:val="22"/>
          <w:lang w:eastAsia="en-US"/>
        </w:rPr>
        <w:t xml:space="preserve"> </w:t>
      </w:r>
      <w:r w:rsidRPr="00D73D82">
        <w:rPr>
          <w:rFonts w:asciiTheme="minorHAnsi" w:eastAsiaTheme="minorHAnsi" w:hAnsiTheme="minorHAnsi" w:cstheme="minorBidi"/>
          <w:i/>
          <w:sz w:val="22"/>
          <w:szCs w:val="22"/>
          <w:lang w:eastAsia="en-US"/>
        </w:rPr>
        <w:t>New developments in the evolution and application of the WHO/IPCS framework on mode of action/species concordance analysis (pages 1–18); M. E. Meek, A. Boobis, I. Cote, V. Dellarco, G. Fotakis, S. Munn, J. Seed and C. Vickers; Article first published online: 25 OCT 2013 Available</w:t>
      </w:r>
      <w:r w:rsidRPr="00D73D82">
        <w:rPr>
          <w:i/>
          <w:lang w:val="en"/>
        </w:rPr>
        <w:t xml:space="preserve"> </w:t>
      </w:r>
      <w:r w:rsidRPr="00D73D82">
        <w:rPr>
          <w:rFonts w:asciiTheme="minorHAnsi" w:eastAsiaTheme="minorHAnsi" w:hAnsiTheme="minorHAnsi" w:cstheme="minorBidi"/>
          <w:i/>
          <w:sz w:val="22"/>
          <w:szCs w:val="22"/>
          <w:lang w:eastAsia="en-US"/>
        </w:rPr>
        <w:t>at:</w:t>
      </w:r>
      <w:r w:rsidRPr="00D96D3F">
        <w:rPr>
          <w:rFonts w:asciiTheme="minorHAnsi" w:eastAsiaTheme="minorHAnsi" w:hAnsiTheme="minorHAnsi" w:cstheme="minorBidi"/>
          <w:sz w:val="22"/>
          <w:szCs w:val="22"/>
          <w:lang w:eastAsia="en-US"/>
        </w:rPr>
        <w:t xml:space="preserve"> </w:t>
      </w:r>
      <w:hyperlink r:id="rId19" w:history="1">
        <w:r w:rsidRPr="00D96D3F">
          <w:rPr>
            <w:rStyle w:val="Hyperlink"/>
            <w:rFonts w:asciiTheme="minorHAnsi" w:eastAsiaTheme="minorHAnsi" w:hAnsiTheme="minorHAnsi" w:cstheme="minorBidi"/>
            <w:b/>
            <w:sz w:val="22"/>
            <w:szCs w:val="22"/>
            <w:lang w:eastAsia="en-US"/>
          </w:rPr>
          <w:t>http://onlinelibrary.wiley.com/doi/10.1002/jat.v34.1/issuetoc</w:t>
        </w:r>
      </w:hyperlink>
      <w:r>
        <w:t xml:space="preserve"> </w:t>
      </w:r>
    </w:p>
    <w:p w:rsidR="00DC1B44" w:rsidRDefault="00DC1B44" w:rsidP="00B417F3">
      <w:pPr>
        <w:jc w:val="both"/>
        <w:rPr>
          <w:i/>
        </w:rPr>
      </w:pPr>
    </w:p>
    <w:p w:rsidR="009664A8" w:rsidRDefault="00B81BDE">
      <w:pPr>
        <w:rPr>
          <w:b/>
        </w:rPr>
      </w:pPr>
      <w:r>
        <w:rPr>
          <w:b/>
        </w:rPr>
        <w:br w:type="page"/>
      </w:r>
      <w:r w:rsidR="00D73D82">
        <w:rPr>
          <w:b/>
        </w:rPr>
        <w:lastRenderedPageBreak/>
        <w:t>5</w:t>
      </w:r>
      <w:r w:rsidR="00DE5FAE">
        <w:rPr>
          <w:b/>
        </w:rPr>
        <w:t xml:space="preserve">b. </w:t>
      </w:r>
      <w:r w:rsidR="009664A8" w:rsidRPr="009664A8">
        <w:rPr>
          <w:b/>
        </w:rPr>
        <w:t>Consistency &amp; Specificity – Biological Plausibility</w:t>
      </w:r>
    </w:p>
    <w:p w:rsidR="00142ED0" w:rsidRPr="00137FA4" w:rsidRDefault="00142ED0" w:rsidP="00142ED0">
      <w:pPr>
        <w:rPr>
          <w:b/>
          <w:i/>
        </w:rPr>
      </w:pPr>
      <w:r w:rsidRPr="00137FA4">
        <w:rPr>
          <w:b/>
          <w:i/>
        </w:rPr>
        <w:t>Consistency &amp; Specificity</w:t>
      </w:r>
    </w:p>
    <w:p w:rsidR="00142ED0" w:rsidRPr="00F54116" w:rsidRDefault="00142ED0" w:rsidP="00142ED0">
      <w:pPr>
        <w:jc w:val="both"/>
        <w:rPr>
          <w:i/>
        </w:rPr>
      </w:pPr>
      <w:r>
        <w:rPr>
          <w:i/>
        </w:rPr>
        <w:t>(In this section the weight of evidence linking the key events with the toxicological response should be addressed; e.g. consideration of consistent observations in a number of studies with different experimental designs. Consistency is the repeatability of the key events in a MoA in different studies / species / strains etc.)</w:t>
      </w:r>
    </w:p>
    <w:p w:rsidR="00142ED0" w:rsidRDefault="00142ED0" w:rsidP="00142ED0">
      <w:pPr>
        <w:jc w:val="both"/>
        <w:rPr>
          <w:i/>
        </w:rPr>
      </w:pPr>
      <w:r>
        <w:rPr>
          <w:i/>
        </w:rPr>
        <w:t>Is the sequence of events reversible if dosing is stopped or a key event prevented?</w:t>
      </w:r>
    </w:p>
    <w:p w:rsidR="00142ED0" w:rsidRDefault="00142ED0" w:rsidP="00142ED0">
      <w:pPr>
        <w:jc w:val="both"/>
        <w:rPr>
          <w:i/>
        </w:rPr>
      </w:pPr>
      <w:r w:rsidRPr="00456B8B">
        <w:rPr>
          <w:i/>
        </w:rPr>
        <w:t xml:space="preserve">Is the incidence of the (adverse) effect consistent with </w:t>
      </w:r>
      <w:r>
        <w:rPr>
          <w:i/>
        </w:rPr>
        <w:t>the incidence of each</w:t>
      </w:r>
      <w:r w:rsidRPr="00456B8B">
        <w:rPr>
          <w:i/>
        </w:rPr>
        <w:t xml:space="preserve"> key event?</w:t>
      </w:r>
      <w:r>
        <w:rPr>
          <w:i/>
        </w:rPr>
        <w:t xml:space="preserve"> (e.g. at similar doses the incidence/severity of later key events would not be expected to be greater than that of earlier  key events).</w:t>
      </w:r>
    </w:p>
    <w:p w:rsidR="00142ED0" w:rsidRDefault="00142ED0" w:rsidP="00142ED0">
      <w:pPr>
        <w:jc w:val="both"/>
        <w:rPr>
          <w:i/>
        </w:rPr>
      </w:pPr>
      <w:r>
        <w:rPr>
          <w:i/>
        </w:rPr>
        <w:t>Is the pattern of effects across species/strains/systems consistent with the hypothesised mode of action?</w:t>
      </w:r>
    </w:p>
    <w:p w:rsidR="00142ED0" w:rsidRDefault="00142ED0" w:rsidP="00142ED0">
      <w:pPr>
        <w:rPr>
          <w:i/>
        </w:rPr>
      </w:pPr>
    </w:p>
    <w:p w:rsidR="00142ED0" w:rsidRPr="00137FA4" w:rsidRDefault="00142ED0" w:rsidP="00142ED0">
      <w:pPr>
        <w:rPr>
          <w:b/>
          <w:i/>
        </w:rPr>
      </w:pPr>
      <w:r w:rsidRPr="00137FA4">
        <w:rPr>
          <w:b/>
          <w:i/>
        </w:rPr>
        <w:t>Biological Plausibility</w:t>
      </w:r>
    </w:p>
    <w:p w:rsidR="00142ED0" w:rsidRDefault="00142ED0" w:rsidP="00142ED0">
      <w:pPr>
        <w:jc w:val="both"/>
        <w:rPr>
          <w:i/>
        </w:rPr>
      </w:pPr>
      <w:r>
        <w:rPr>
          <w:i/>
        </w:rPr>
        <w:t>According to the WHO/IPCS MoA Framework the following aspects should be considered in this section:</w:t>
      </w:r>
    </w:p>
    <w:p w:rsidR="00142ED0" w:rsidRDefault="00142ED0" w:rsidP="00142ED0">
      <w:pPr>
        <w:jc w:val="both"/>
        <w:rPr>
          <w:i/>
        </w:rPr>
      </w:pPr>
      <w:r>
        <w:rPr>
          <w:i/>
        </w:rPr>
        <w:t>Does the hypothesised mode of action make sense based on broader knowledge (e.g. biology, established mode of action)?</w:t>
      </w:r>
    </w:p>
    <w:p w:rsidR="00142ED0" w:rsidRDefault="00142ED0">
      <w:pPr>
        <w:rPr>
          <w:b/>
        </w:rPr>
      </w:pPr>
      <w:r>
        <w:rPr>
          <w:b/>
        </w:rPr>
        <w:br w:type="page"/>
      </w:r>
    </w:p>
    <w:p w:rsidR="00142ED0" w:rsidRPr="009664A8" w:rsidRDefault="00142ED0">
      <w:pPr>
        <w:rPr>
          <w:b/>
        </w:rPr>
      </w:pPr>
    </w:p>
    <w:tbl>
      <w:tblPr>
        <w:tblStyle w:val="TableGrid"/>
        <w:tblW w:w="0" w:type="auto"/>
        <w:tblLook w:val="04A0" w:firstRow="1" w:lastRow="0" w:firstColumn="1" w:lastColumn="0" w:noHBand="0" w:noVBand="1"/>
      </w:tblPr>
      <w:tblGrid>
        <w:gridCol w:w="1848"/>
        <w:gridCol w:w="2513"/>
        <w:gridCol w:w="2268"/>
        <w:gridCol w:w="1978"/>
        <w:gridCol w:w="2274"/>
      </w:tblGrid>
      <w:tr w:rsidR="009664A8" w:rsidTr="00017AEC">
        <w:tc>
          <w:tcPr>
            <w:tcW w:w="1848" w:type="dxa"/>
          </w:tcPr>
          <w:p w:rsidR="009664A8" w:rsidRDefault="009664A8"/>
        </w:tc>
        <w:tc>
          <w:tcPr>
            <w:tcW w:w="2513" w:type="dxa"/>
          </w:tcPr>
          <w:p w:rsidR="009664A8" w:rsidRPr="00B95BF0" w:rsidRDefault="009664A8">
            <w:pPr>
              <w:rPr>
                <w:b/>
                <w:i/>
                <w:sz w:val="18"/>
                <w:szCs w:val="18"/>
              </w:rPr>
            </w:pPr>
            <w:r w:rsidRPr="00B95BF0">
              <w:rPr>
                <w:b/>
                <w:i/>
                <w:sz w:val="18"/>
                <w:szCs w:val="18"/>
              </w:rPr>
              <w:t>Key Event 1</w:t>
            </w:r>
          </w:p>
        </w:tc>
        <w:tc>
          <w:tcPr>
            <w:tcW w:w="2268" w:type="dxa"/>
          </w:tcPr>
          <w:p w:rsidR="009664A8" w:rsidRPr="00B95BF0" w:rsidRDefault="009664A8">
            <w:pPr>
              <w:rPr>
                <w:b/>
                <w:i/>
                <w:sz w:val="18"/>
                <w:szCs w:val="18"/>
              </w:rPr>
            </w:pPr>
            <w:r w:rsidRPr="00B95BF0">
              <w:rPr>
                <w:b/>
                <w:i/>
                <w:sz w:val="18"/>
                <w:szCs w:val="18"/>
              </w:rPr>
              <w:t>Key Event 2</w:t>
            </w:r>
          </w:p>
        </w:tc>
        <w:tc>
          <w:tcPr>
            <w:tcW w:w="1978" w:type="dxa"/>
          </w:tcPr>
          <w:p w:rsidR="009664A8" w:rsidRPr="00B95BF0" w:rsidRDefault="009664A8">
            <w:pPr>
              <w:rPr>
                <w:b/>
                <w:i/>
                <w:sz w:val="18"/>
                <w:szCs w:val="18"/>
              </w:rPr>
            </w:pPr>
            <w:r w:rsidRPr="00B95BF0">
              <w:rPr>
                <w:b/>
                <w:i/>
                <w:sz w:val="18"/>
                <w:szCs w:val="18"/>
              </w:rPr>
              <w:t>Key Event 3</w:t>
            </w:r>
          </w:p>
        </w:tc>
        <w:tc>
          <w:tcPr>
            <w:tcW w:w="2274" w:type="dxa"/>
          </w:tcPr>
          <w:p w:rsidR="009664A8" w:rsidRPr="00B95BF0" w:rsidRDefault="009664A8">
            <w:pPr>
              <w:rPr>
                <w:b/>
                <w:i/>
                <w:sz w:val="18"/>
                <w:szCs w:val="18"/>
              </w:rPr>
            </w:pPr>
            <w:r w:rsidRPr="00B95BF0">
              <w:rPr>
                <w:b/>
                <w:i/>
                <w:sz w:val="18"/>
                <w:szCs w:val="18"/>
              </w:rPr>
              <w:t>Key Event 4</w:t>
            </w:r>
          </w:p>
        </w:tc>
      </w:tr>
      <w:tr w:rsidR="009664A8" w:rsidTr="00017AEC">
        <w:tc>
          <w:tcPr>
            <w:tcW w:w="1848" w:type="dxa"/>
          </w:tcPr>
          <w:p w:rsidR="00B52743" w:rsidRDefault="009664A8">
            <w:pPr>
              <w:rPr>
                <w:b/>
                <w:i/>
                <w:sz w:val="18"/>
                <w:szCs w:val="18"/>
              </w:rPr>
            </w:pPr>
            <w:r w:rsidRPr="00B95BF0">
              <w:rPr>
                <w:b/>
                <w:i/>
                <w:sz w:val="18"/>
                <w:szCs w:val="18"/>
              </w:rPr>
              <w:t>Consistency &amp; Specificity</w:t>
            </w:r>
          </w:p>
          <w:p w:rsidR="009664A8" w:rsidRDefault="009664A8" w:rsidP="00B52743">
            <w:pPr>
              <w:rPr>
                <w:sz w:val="18"/>
                <w:szCs w:val="18"/>
              </w:rPr>
            </w:pPr>
          </w:p>
          <w:p w:rsidR="00B52743" w:rsidRDefault="00B52743" w:rsidP="00B52743">
            <w:pPr>
              <w:rPr>
                <w:sz w:val="18"/>
                <w:szCs w:val="18"/>
              </w:rPr>
            </w:pPr>
          </w:p>
          <w:p w:rsidR="00B52743" w:rsidRDefault="00B52743" w:rsidP="00B52743">
            <w:pPr>
              <w:rPr>
                <w:sz w:val="18"/>
                <w:szCs w:val="18"/>
              </w:rPr>
            </w:pPr>
          </w:p>
          <w:p w:rsidR="00B52743" w:rsidRDefault="00B52743" w:rsidP="00B52743">
            <w:pPr>
              <w:rPr>
                <w:sz w:val="18"/>
                <w:szCs w:val="18"/>
              </w:rPr>
            </w:pPr>
          </w:p>
          <w:p w:rsidR="00B52743" w:rsidRDefault="00B52743" w:rsidP="00B52743">
            <w:pPr>
              <w:rPr>
                <w:sz w:val="18"/>
                <w:szCs w:val="18"/>
              </w:rPr>
            </w:pPr>
          </w:p>
          <w:p w:rsidR="00B52743" w:rsidRPr="00B52743" w:rsidRDefault="00B52743" w:rsidP="00B52743">
            <w:pPr>
              <w:rPr>
                <w:sz w:val="18"/>
                <w:szCs w:val="18"/>
              </w:rPr>
            </w:pPr>
          </w:p>
        </w:tc>
        <w:tc>
          <w:tcPr>
            <w:tcW w:w="2513" w:type="dxa"/>
          </w:tcPr>
          <w:p w:rsidR="009664A8" w:rsidRDefault="009664A8"/>
          <w:p w:rsidR="009664A8" w:rsidRDefault="009664A8"/>
          <w:p w:rsidR="009664A8" w:rsidRDefault="009664A8"/>
          <w:p w:rsidR="009664A8" w:rsidRDefault="009664A8"/>
        </w:tc>
        <w:tc>
          <w:tcPr>
            <w:tcW w:w="2268" w:type="dxa"/>
          </w:tcPr>
          <w:p w:rsidR="009664A8" w:rsidRDefault="009664A8"/>
        </w:tc>
        <w:tc>
          <w:tcPr>
            <w:tcW w:w="1978" w:type="dxa"/>
          </w:tcPr>
          <w:p w:rsidR="009664A8" w:rsidRDefault="009664A8"/>
        </w:tc>
        <w:tc>
          <w:tcPr>
            <w:tcW w:w="2274" w:type="dxa"/>
          </w:tcPr>
          <w:p w:rsidR="009664A8" w:rsidRDefault="009664A8"/>
        </w:tc>
      </w:tr>
      <w:tr w:rsidR="009664A8" w:rsidTr="00017AEC">
        <w:tc>
          <w:tcPr>
            <w:tcW w:w="1848" w:type="dxa"/>
          </w:tcPr>
          <w:p w:rsidR="00B52743" w:rsidRDefault="009664A8">
            <w:pPr>
              <w:rPr>
                <w:b/>
                <w:i/>
                <w:sz w:val="18"/>
                <w:szCs w:val="18"/>
              </w:rPr>
            </w:pPr>
            <w:r w:rsidRPr="00B95BF0">
              <w:rPr>
                <w:b/>
                <w:i/>
                <w:sz w:val="18"/>
                <w:szCs w:val="18"/>
              </w:rPr>
              <w:t>Biological Plausibility</w:t>
            </w:r>
          </w:p>
          <w:p w:rsidR="00B52743" w:rsidRDefault="00B52743" w:rsidP="00B52743">
            <w:pPr>
              <w:rPr>
                <w:sz w:val="18"/>
                <w:szCs w:val="18"/>
              </w:rPr>
            </w:pPr>
          </w:p>
          <w:p w:rsidR="00B52743" w:rsidRDefault="00B52743" w:rsidP="00B52743">
            <w:pPr>
              <w:rPr>
                <w:sz w:val="18"/>
                <w:szCs w:val="18"/>
              </w:rPr>
            </w:pPr>
          </w:p>
          <w:p w:rsidR="00B52743" w:rsidRDefault="00B52743" w:rsidP="00B52743">
            <w:pPr>
              <w:rPr>
                <w:sz w:val="18"/>
                <w:szCs w:val="18"/>
              </w:rPr>
            </w:pPr>
          </w:p>
          <w:p w:rsidR="00B52743" w:rsidRDefault="00B52743" w:rsidP="00B52743">
            <w:pPr>
              <w:rPr>
                <w:sz w:val="18"/>
                <w:szCs w:val="18"/>
              </w:rPr>
            </w:pPr>
          </w:p>
          <w:p w:rsidR="00B52743" w:rsidRDefault="00B52743" w:rsidP="00B52743">
            <w:pPr>
              <w:rPr>
                <w:sz w:val="18"/>
                <w:szCs w:val="18"/>
              </w:rPr>
            </w:pPr>
          </w:p>
          <w:p w:rsidR="00B52743" w:rsidRDefault="00B52743" w:rsidP="00B52743">
            <w:pPr>
              <w:rPr>
                <w:sz w:val="18"/>
                <w:szCs w:val="18"/>
              </w:rPr>
            </w:pPr>
          </w:p>
          <w:p w:rsidR="00B52743" w:rsidRDefault="00B52743" w:rsidP="00B52743">
            <w:pPr>
              <w:rPr>
                <w:sz w:val="18"/>
                <w:szCs w:val="18"/>
              </w:rPr>
            </w:pPr>
          </w:p>
          <w:p w:rsidR="00B52743" w:rsidRPr="00B52743" w:rsidRDefault="00B52743" w:rsidP="00B52743">
            <w:pPr>
              <w:rPr>
                <w:sz w:val="18"/>
                <w:szCs w:val="18"/>
              </w:rPr>
            </w:pPr>
          </w:p>
        </w:tc>
        <w:tc>
          <w:tcPr>
            <w:tcW w:w="2513" w:type="dxa"/>
          </w:tcPr>
          <w:p w:rsidR="009664A8" w:rsidRDefault="009664A8"/>
          <w:p w:rsidR="009664A8" w:rsidRDefault="009664A8"/>
          <w:p w:rsidR="009664A8" w:rsidRDefault="009664A8"/>
          <w:p w:rsidR="009664A8" w:rsidRDefault="009664A8"/>
          <w:p w:rsidR="009664A8" w:rsidRDefault="009664A8"/>
        </w:tc>
        <w:tc>
          <w:tcPr>
            <w:tcW w:w="2268" w:type="dxa"/>
          </w:tcPr>
          <w:p w:rsidR="009664A8" w:rsidRDefault="009664A8"/>
        </w:tc>
        <w:tc>
          <w:tcPr>
            <w:tcW w:w="1978" w:type="dxa"/>
          </w:tcPr>
          <w:p w:rsidR="009664A8" w:rsidRDefault="009664A8"/>
        </w:tc>
        <w:tc>
          <w:tcPr>
            <w:tcW w:w="2274" w:type="dxa"/>
          </w:tcPr>
          <w:p w:rsidR="009664A8" w:rsidRDefault="009664A8"/>
        </w:tc>
      </w:tr>
    </w:tbl>
    <w:p w:rsidR="004D05C1" w:rsidRDefault="004D05C1" w:rsidP="004D05C1">
      <w:pPr>
        <w:pStyle w:val="NormalWeb"/>
        <w:spacing w:before="0" w:beforeAutospacing="0" w:after="120" w:afterAutospacing="0"/>
        <w:rPr>
          <w:rFonts w:asciiTheme="minorHAnsi" w:eastAsiaTheme="minorHAnsi" w:hAnsiTheme="minorHAnsi" w:cstheme="minorBidi"/>
          <w:i/>
          <w:sz w:val="22"/>
          <w:szCs w:val="22"/>
          <w:lang w:eastAsia="en-US"/>
        </w:rPr>
      </w:pPr>
    </w:p>
    <w:p w:rsidR="004D05C1" w:rsidRPr="00D96D3F" w:rsidRDefault="004D05C1" w:rsidP="004D05C1">
      <w:pPr>
        <w:pStyle w:val="NormalWeb"/>
        <w:spacing w:before="0" w:beforeAutospacing="0" w:after="120" w:afterAutospacing="0"/>
        <w:rPr>
          <w:lang w:val="en"/>
        </w:rPr>
      </w:pPr>
      <w:r w:rsidRPr="003658C4">
        <w:rPr>
          <w:rFonts w:asciiTheme="minorHAnsi" w:eastAsiaTheme="minorHAnsi" w:hAnsiTheme="minorHAnsi" w:cstheme="minorBidi"/>
          <w:i/>
          <w:sz w:val="22"/>
          <w:szCs w:val="22"/>
          <w:lang w:eastAsia="en-US"/>
        </w:rPr>
        <w:t xml:space="preserve">See example </w:t>
      </w:r>
      <w:r>
        <w:rPr>
          <w:rFonts w:asciiTheme="minorHAnsi" w:eastAsiaTheme="minorHAnsi" w:hAnsiTheme="minorHAnsi" w:cstheme="minorBidi"/>
          <w:i/>
          <w:sz w:val="22"/>
          <w:szCs w:val="22"/>
          <w:lang w:eastAsia="en-US"/>
        </w:rPr>
        <w:t xml:space="preserve"> for </w:t>
      </w:r>
      <w:r w:rsidR="008F252B">
        <w:rPr>
          <w:rFonts w:asciiTheme="minorHAnsi" w:eastAsiaTheme="minorHAnsi" w:hAnsiTheme="minorHAnsi" w:cstheme="minorBidi"/>
          <w:i/>
          <w:sz w:val="22"/>
          <w:szCs w:val="22"/>
          <w:lang w:eastAsia="en-US"/>
        </w:rPr>
        <w:t xml:space="preserve">the parts of </w:t>
      </w:r>
      <w:r>
        <w:rPr>
          <w:rFonts w:asciiTheme="minorHAnsi" w:eastAsiaTheme="minorHAnsi" w:hAnsiTheme="minorHAnsi" w:cstheme="minorBidi"/>
          <w:i/>
          <w:sz w:val="22"/>
          <w:szCs w:val="22"/>
          <w:lang w:eastAsia="en-US"/>
        </w:rPr>
        <w:t>consistency and biological plausibility in</w:t>
      </w:r>
      <w:r w:rsidRPr="003658C4">
        <w:rPr>
          <w:rFonts w:asciiTheme="minorHAnsi" w:eastAsiaTheme="minorHAnsi" w:hAnsiTheme="minorHAnsi" w:cstheme="minorBidi"/>
          <w:i/>
          <w:sz w:val="22"/>
          <w:szCs w:val="22"/>
          <w:lang w:eastAsia="en-US"/>
        </w:rPr>
        <w:t xml:space="preserve"> </w:t>
      </w:r>
      <w:r>
        <w:rPr>
          <w:rFonts w:asciiTheme="minorHAnsi" w:eastAsiaTheme="minorHAnsi" w:hAnsiTheme="minorHAnsi" w:cstheme="minorBidi"/>
          <w:i/>
          <w:sz w:val="22"/>
          <w:szCs w:val="22"/>
          <w:u w:val="single"/>
          <w:lang w:eastAsia="en-US"/>
        </w:rPr>
        <w:t>figure 6</w:t>
      </w:r>
      <w:r>
        <w:t xml:space="preserve"> </w:t>
      </w:r>
      <w:r w:rsidRPr="003658C4">
        <w:rPr>
          <w:rFonts w:asciiTheme="minorHAnsi" w:eastAsiaTheme="minorHAnsi" w:hAnsiTheme="minorHAnsi" w:cstheme="minorBidi"/>
          <w:i/>
          <w:sz w:val="22"/>
          <w:szCs w:val="22"/>
          <w:lang w:eastAsia="en-US"/>
        </w:rPr>
        <w:t>within</w:t>
      </w:r>
      <w:r>
        <w:rPr>
          <w:rFonts w:asciiTheme="minorHAnsi" w:eastAsiaTheme="minorHAnsi" w:hAnsiTheme="minorHAnsi" w:cstheme="minorBidi"/>
          <w:i/>
          <w:sz w:val="22"/>
          <w:szCs w:val="22"/>
          <w:lang w:eastAsia="en-US"/>
        </w:rPr>
        <w:t xml:space="preserve">: </w:t>
      </w:r>
      <w:r w:rsidRPr="003658C4">
        <w:rPr>
          <w:rFonts w:asciiTheme="minorHAnsi" w:eastAsiaTheme="minorHAnsi" w:hAnsiTheme="minorHAnsi" w:cstheme="minorBidi"/>
          <w:i/>
          <w:sz w:val="22"/>
          <w:szCs w:val="22"/>
          <w:lang w:eastAsia="en-US"/>
        </w:rPr>
        <w:t xml:space="preserve"> </w:t>
      </w:r>
      <w:r w:rsidRPr="00D73D82">
        <w:rPr>
          <w:rFonts w:asciiTheme="minorHAnsi" w:eastAsiaTheme="minorHAnsi" w:hAnsiTheme="minorHAnsi" w:cstheme="minorBidi"/>
          <w:i/>
          <w:sz w:val="22"/>
          <w:szCs w:val="22"/>
          <w:lang w:eastAsia="en-US"/>
        </w:rPr>
        <w:t>New developments in the evolution and application of the WHO/IPCS framework on mode of action/species concordance analysis (pages 1–18); M. E. Meek, A. Boobis, I. Cote, V. Dellarco, G. Fotakis, S. Munn, J. Seed and C. Vickers; Article first published online: 25 OCT 2013 Available</w:t>
      </w:r>
      <w:r w:rsidRPr="00D73D82">
        <w:rPr>
          <w:i/>
          <w:lang w:val="en"/>
        </w:rPr>
        <w:t xml:space="preserve"> </w:t>
      </w:r>
      <w:r w:rsidRPr="00D73D82">
        <w:rPr>
          <w:rFonts w:asciiTheme="minorHAnsi" w:eastAsiaTheme="minorHAnsi" w:hAnsiTheme="minorHAnsi" w:cstheme="minorBidi"/>
          <w:i/>
          <w:sz w:val="22"/>
          <w:szCs w:val="22"/>
          <w:lang w:eastAsia="en-US"/>
        </w:rPr>
        <w:t>at:</w:t>
      </w:r>
      <w:r w:rsidRPr="00D96D3F">
        <w:rPr>
          <w:rFonts w:asciiTheme="minorHAnsi" w:eastAsiaTheme="minorHAnsi" w:hAnsiTheme="minorHAnsi" w:cstheme="minorBidi"/>
          <w:sz w:val="22"/>
          <w:szCs w:val="22"/>
          <w:lang w:eastAsia="en-US"/>
        </w:rPr>
        <w:t xml:space="preserve"> </w:t>
      </w:r>
      <w:hyperlink r:id="rId20" w:history="1">
        <w:r w:rsidRPr="00D96D3F">
          <w:rPr>
            <w:rStyle w:val="Hyperlink"/>
            <w:rFonts w:asciiTheme="minorHAnsi" w:eastAsiaTheme="minorHAnsi" w:hAnsiTheme="minorHAnsi" w:cstheme="minorBidi"/>
            <w:b/>
            <w:sz w:val="22"/>
            <w:szCs w:val="22"/>
            <w:lang w:eastAsia="en-US"/>
          </w:rPr>
          <w:t>http://onlinelibrary.wiley.com/doi/10.1002/jat.v34.1/issuetoc</w:t>
        </w:r>
      </w:hyperlink>
      <w:r>
        <w:t xml:space="preserve"> </w:t>
      </w:r>
    </w:p>
    <w:p w:rsidR="00B26285" w:rsidRDefault="00B26285" w:rsidP="00B26285">
      <w:pPr>
        <w:spacing w:after="120"/>
        <w:jc w:val="both"/>
        <w:rPr>
          <w:i/>
        </w:rPr>
      </w:pPr>
      <w:r w:rsidRPr="00B26285">
        <w:rPr>
          <w:i/>
        </w:rPr>
        <w:t>And within case studies of Part I and Part II Harmonisation Series Guidance available at:</w:t>
      </w:r>
    </w:p>
    <w:p w:rsidR="00B26285" w:rsidRPr="00B26285" w:rsidRDefault="00B26285" w:rsidP="00B26285">
      <w:pPr>
        <w:spacing w:after="120"/>
        <w:jc w:val="both"/>
        <w:rPr>
          <w:b/>
        </w:rPr>
      </w:pPr>
      <w:r w:rsidRPr="00B26285">
        <w:rPr>
          <w:b/>
        </w:rPr>
        <w:t xml:space="preserve"> </w:t>
      </w:r>
      <w:hyperlink r:id="rId21" w:history="1">
        <w:r w:rsidRPr="00B26285">
          <w:rPr>
            <w:rStyle w:val="Hyperlink"/>
            <w:b/>
          </w:rPr>
          <w:t>http://www.who.int/ipcs/methods/harmonization/areas/cancer_mode.pdf?ua=1</w:t>
        </w:r>
      </w:hyperlink>
    </w:p>
    <w:p w:rsidR="004D05C1" w:rsidRDefault="004D05C1">
      <w:pPr>
        <w:rPr>
          <w:b/>
          <w:i/>
          <w:sz w:val="18"/>
          <w:szCs w:val="18"/>
        </w:rPr>
      </w:pPr>
    </w:p>
    <w:p w:rsidR="004D05C1" w:rsidRDefault="004D05C1">
      <w:pPr>
        <w:rPr>
          <w:b/>
          <w:i/>
          <w:sz w:val="18"/>
          <w:szCs w:val="18"/>
        </w:rPr>
      </w:pPr>
    </w:p>
    <w:p w:rsidR="004D05C1" w:rsidRDefault="004D05C1">
      <w:pPr>
        <w:rPr>
          <w:b/>
          <w:i/>
          <w:sz w:val="18"/>
          <w:szCs w:val="18"/>
        </w:rPr>
      </w:pPr>
    </w:p>
    <w:p w:rsidR="004D05C1" w:rsidRDefault="004D05C1">
      <w:pPr>
        <w:rPr>
          <w:b/>
          <w:i/>
          <w:sz w:val="18"/>
          <w:szCs w:val="18"/>
        </w:rPr>
      </w:pPr>
    </w:p>
    <w:p w:rsidR="00B26285" w:rsidRDefault="00B26285">
      <w:pPr>
        <w:rPr>
          <w:b/>
          <w:i/>
          <w:sz w:val="18"/>
          <w:szCs w:val="18"/>
        </w:rPr>
      </w:pPr>
    </w:p>
    <w:p w:rsidR="00CA3EE7" w:rsidRPr="0097758B" w:rsidRDefault="00B52743" w:rsidP="0097758B">
      <w:pPr>
        <w:jc w:val="both"/>
        <w:rPr>
          <w:b/>
        </w:rPr>
      </w:pPr>
      <w:r>
        <w:rPr>
          <w:b/>
        </w:rPr>
        <w:br w:type="page"/>
      </w:r>
      <w:r w:rsidR="00482CEC">
        <w:rPr>
          <w:b/>
        </w:rPr>
        <w:lastRenderedPageBreak/>
        <w:t>5c</w:t>
      </w:r>
      <w:r w:rsidR="000408A7">
        <w:rPr>
          <w:b/>
        </w:rPr>
        <w:t xml:space="preserve">. </w:t>
      </w:r>
      <w:r w:rsidR="00097C4A" w:rsidRPr="007B58E5">
        <w:rPr>
          <w:b/>
        </w:rPr>
        <w:t>Qualitative and Quantitative human concordance</w:t>
      </w:r>
    </w:p>
    <w:tbl>
      <w:tblPr>
        <w:tblStyle w:val="TableGrid"/>
        <w:tblpPr w:leftFromText="180" w:rightFromText="180" w:vertAnchor="text" w:horzAnchor="margin" w:tblpY="80"/>
        <w:tblW w:w="0" w:type="auto"/>
        <w:tblLook w:val="04A0" w:firstRow="1" w:lastRow="0" w:firstColumn="1" w:lastColumn="0" w:noHBand="0" w:noVBand="1"/>
      </w:tblPr>
      <w:tblGrid>
        <w:gridCol w:w="2362"/>
        <w:gridCol w:w="2362"/>
        <w:gridCol w:w="2362"/>
        <w:gridCol w:w="2362"/>
        <w:gridCol w:w="2363"/>
        <w:gridCol w:w="2363"/>
      </w:tblGrid>
      <w:tr w:rsidR="0097758B" w:rsidTr="001B369E">
        <w:tc>
          <w:tcPr>
            <w:tcW w:w="2362" w:type="dxa"/>
          </w:tcPr>
          <w:p w:rsidR="0097758B" w:rsidRPr="00224307" w:rsidRDefault="0097758B" w:rsidP="00CA3EE7">
            <w:pPr>
              <w:rPr>
                <w:b/>
                <w:i/>
                <w:sz w:val="18"/>
                <w:szCs w:val="18"/>
              </w:rPr>
            </w:pPr>
          </w:p>
        </w:tc>
        <w:tc>
          <w:tcPr>
            <w:tcW w:w="4724" w:type="dxa"/>
            <w:gridSpan w:val="2"/>
          </w:tcPr>
          <w:p w:rsidR="0097758B" w:rsidRPr="00224307" w:rsidRDefault="0097758B" w:rsidP="0097758B">
            <w:pPr>
              <w:tabs>
                <w:tab w:val="left" w:pos="1540"/>
              </w:tabs>
              <w:rPr>
                <w:b/>
                <w:i/>
                <w:sz w:val="18"/>
                <w:szCs w:val="18"/>
              </w:rPr>
            </w:pPr>
            <w:r>
              <w:rPr>
                <w:b/>
                <w:i/>
                <w:sz w:val="18"/>
                <w:szCs w:val="18"/>
              </w:rPr>
              <w:tab/>
              <w:t>Qualitative Concordance</w:t>
            </w:r>
          </w:p>
        </w:tc>
        <w:tc>
          <w:tcPr>
            <w:tcW w:w="2362" w:type="dxa"/>
          </w:tcPr>
          <w:p w:rsidR="0097758B" w:rsidRPr="00224307" w:rsidRDefault="0097758B" w:rsidP="00CA3EE7">
            <w:pPr>
              <w:rPr>
                <w:b/>
                <w:i/>
                <w:sz w:val="18"/>
                <w:szCs w:val="18"/>
              </w:rPr>
            </w:pPr>
          </w:p>
        </w:tc>
        <w:tc>
          <w:tcPr>
            <w:tcW w:w="2363" w:type="dxa"/>
          </w:tcPr>
          <w:p w:rsidR="0097758B" w:rsidRPr="00224307" w:rsidRDefault="0097758B" w:rsidP="00CA3EE7">
            <w:pPr>
              <w:rPr>
                <w:b/>
                <w:i/>
                <w:sz w:val="18"/>
                <w:szCs w:val="18"/>
              </w:rPr>
            </w:pPr>
          </w:p>
        </w:tc>
        <w:tc>
          <w:tcPr>
            <w:tcW w:w="2363" w:type="dxa"/>
          </w:tcPr>
          <w:p w:rsidR="0097758B" w:rsidRPr="00224307" w:rsidRDefault="0097758B" w:rsidP="00CA3EE7">
            <w:pPr>
              <w:rPr>
                <w:b/>
                <w:i/>
                <w:sz w:val="18"/>
                <w:szCs w:val="18"/>
              </w:rPr>
            </w:pPr>
          </w:p>
        </w:tc>
      </w:tr>
      <w:tr w:rsidR="0097758B" w:rsidTr="00024891">
        <w:tc>
          <w:tcPr>
            <w:tcW w:w="2362" w:type="dxa"/>
          </w:tcPr>
          <w:p w:rsidR="0097758B" w:rsidRPr="00224307" w:rsidRDefault="0097758B" w:rsidP="0097758B">
            <w:pPr>
              <w:rPr>
                <w:b/>
                <w:i/>
                <w:sz w:val="18"/>
                <w:szCs w:val="18"/>
              </w:rPr>
            </w:pPr>
          </w:p>
          <w:p w:rsidR="0097758B" w:rsidRPr="00224307" w:rsidRDefault="0097758B" w:rsidP="0097758B">
            <w:pPr>
              <w:rPr>
                <w:b/>
                <w:i/>
                <w:sz w:val="18"/>
                <w:szCs w:val="18"/>
              </w:rPr>
            </w:pPr>
            <w:r w:rsidRPr="00224307">
              <w:rPr>
                <w:b/>
                <w:i/>
                <w:sz w:val="18"/>
                <w:szCs w:val="18"/>
              </w:rPr>
              <w:t>Key Event (name)</w:t>
            </w:r>
          </w:p>
        </w:tc>
        <w:tc>
          <w:tcPr>
            <w:tcW w:w="2362" w:type="dxa"/>
          </w:tcPr>
          <w:p w:rsidR="0097758B" w:rsidRPr="00224307" w:rsidRDefault="0097758B" w:rsidP="0097758B">
            <w:pPr>
              <w:rPr>
                <w:b/>
                <w:i/>
                <w:sz w:val="18"/>
                <w:szCs w:val="18"/>
              </w:rPr>
            </w:pPr>
            <w:r w:rsidRPr="00224307">
              <w:rPr>
                <w:b/>
                <w:i/>
                <w:sz w:val="18"/>
                <w:szCs w:val="18"/>
              </w:rPr>
              <w:t xml:space="preserve"> (</w:t>
            </w:r>
            <w:r>
              <w:rPr>
                <w:b/>
                <w:i/>
                <w:sz w:val="18"/>
                <w:szCs w:val="18"/>
              </w:rPr>
              <w:t xml:space="preserve">Evidence in </w:t>
            </w:r>
            <w:r w:rsidRPr="00224307">
              <w:rPr>
                <w:b/>
                <w:i/>
                <w:sz w:val="18"/>
                <w:szCs w:val="18"/>
              </w:rPr>
              <w:t>Experimental Species)</w:t>
            </w:r>
          </w:p>
        </w:tc>
        <w:tc>
          <w:tcPr>
            <w:tcW w:w="2362" w:type="dxa"/>
          </w:tcPr>
          <w:p w:rsidR="0097758B" w:rsidRPr="00224307" w:rsidRDefault="0097758B" w:rsidP="0097758B">
            <w:pPr>
              <w:rPr>
                <w:b/>
                <w:i/>
                <w:sz w:val="18"/>
                <w:szCs w:val="18"/>
              </w:rPr>
            </w:pPr>
            <w:r w:rsidRPr="00224307">
              <w:rPr>
                <w:b/>
                <w:i/>
                <w:sz w:val="18"/>
                <w:szCs w:val="18"/>
              </w:rPr>
              <w:t xml:space="preserve"> (</w:t>
            </w:r>
            <w:r>
              <w:rPr>
                <w:b/>
                <w:i/>
                <w:sz w:val="18"/>
                <w:szCs w:val="18"/>
              </w:rPr>
              <w:t xml:space="preserve">Evidence in </w:t>
            </w:r>
            <w:r w:rsidRPr="00224307">
              <w:rPr>
                <w:b/>
                <w:i/>
                <w:sz w:val="18"/>
                <w:szCs w:val="18"/>
              </w:rPr>
              <w:t>Humans)</w:t>
            </w:r>
          </w:p>
        </w:tc>
        <w:tc>
          <w:tcPr>
            <w:tcW w:w="2362" w:type="dxa"/>
          </w:tcPr>
          <w:p w:rsidR="0097758B" w:rsidRPr="00224307" w:rsidRDefault="0097758B" w:rsidP="0097758B">
            <w:pPr>
              <w:rPr>
                <w:b/>
                <w:i/>
                <w:sz w:val="18"/>
                <w:szCs w:val="18"/>
              </w:rPr>
            </w:pPr>
            <w:r w:rsidRPr="00224307">
              <w:rPr>
                <w:b/>
                <w:i/>
                <w:sz w:val="18"/>
                <w:szCs w:val="18"/>
              </w:rPr>
              <w:t>Quantitative Species Concordance (experimental species and humans)</w:t>
            </w:r>
          </w:p>
        </w:tc>
        <w:tc>
          <w:tcPr>
            <w:tcW w:w="2363" w:type="dxa"/>
          </w:tcPr>
          <w:p w:rsidR="0097758B" w:rsidRPr="00224307" w:rsidRDefault="0097758B" w:rsidP="0097758B">
            <w:pPr>
              <w:rPr>
                <w:b/>
                <w:i/>
                <w:sz w:val="18"/>
                <w:szCs w:val="18"/>
              </w:rPr>
            </w:pPr>
            <w:r w:rsidRPr="00224307">
              <w:rPr>
                <w:b/>
                <w:i/>
                <w:sz w:val="18"/>
                <w:szCs w:val="18"/>
              </w:rPr>
              <w:t>Quantitative Dose Response</w:t>
            </w:r>
          </w:p>
          <w:p w:rsidR="0097758B" w:rsidRPr="00224307" w:rsidRDefault="0097758B" w:rsidP="0097758B">
            <w:pPr>
              <w:rPr>
                <w:b/>
                <w:i/>
                <w:sz w:val="18"/>
                <w:szCs w:val="18"/>
              </w:rPr>
            </w:pPr>
          </w:p>
          <w:p w:rsidR="0097758B" w:rsidRPr="00224307" w:rsidRDefault="0097758B" w:rsidP="0097758B">
            <w:pPr>
              <w:rPr>
                <w:b/>
                <w:i/>
                <w:sz w:val="18"/>
                <w:szCs w:val="18"/>
              </w:rPr>
            </w:pPr>
          </w:p>
        </w:tc>
        <w:tc>
          <w:tcPr>
            <w:tcW w:w="2363" w:type="dxa"/>
          </w:tcPr>
          <w:p w:rsidR="0097758B" w:rsidRPr="00224307" w:rsidRDefault="0097758B" w:rsidP="0097758B">
            <w:pPr>
              <w:rPr>
                <w:b/>
                <w:i/>
                <w:sz w:val="18"/>
                <w:szCs w:val="18"/>
              </w:rPr>
            </w:pPr>
            <w:r w:rsidRPr="00224307">
              <w:rPr>
                <w:b/>
                <w:i/>
                <w:sz w:val="18"/>
                <w:szCs w:val="18"/>
              </w:rPr>
              <w:t>Confidence/ Uncertainty</w:t>
            </w:r>
          </w:p>
        </w:tc>
      </w:tr>
      <w:tr w:rsidR="0097758B" w:rsidTr="00024891">
        <w:tc>
          <w:tcPr>
            <w:tcW w:w="2362" w:type="dxa"/>
          </w:tcPr>
          <w:p w:rsidR="0097758B" w:rsidRPr="00224307" w:rsidRDefault="0097758B" w:rsidP="0097758B">
            <w:pPr>
              <w:rPr>
                <w:b/>
                <w:i/>
                <w:sz w:val="18"/>
                <w:szCs w:val="18"/>
              </w:rPr>
            </w:pPr>
          </w:p>
          <w:p w:rsidR="0097758B" w:rsidRPr="00224307" w:rsidRDefault="0097758B" w:rsidP="0097758B">
            <w:pPr>
              <w:rPr>
                <w:b/>
                <w:i/>
                <w:sz w:val="18"/>
                <w:szCs w:val="18"/>
              </w:rPr>
            </w:pPr>
          </w:p>
          <w:p w:rsidR="0097758B" w:rsidRPr="00224307" w:rsidRDefault="0097758B" w:rsidP="0097758B">
            <w:pPr>
              <w:rPr>
                <w:b/>
                <w:i/>
                <w:sz w:val="18"/>
                <w:szCs w:val="18"/>
              </w:rPr>
            </w:pPr>
            <w:r w:rsidRPr="00224307">
              <w:rPr>
                <w:b/>
                <w:i/>
                <w:sz w:val="18"/>
                <w:szCs w:val="18"/>
              </w:rPr>
              <w:t>Key Event 1</w:t>
            </w:r>
          </w:p>
          <w:p w:rsidR="0097758B" w:rsidRPr="00224307" w:rsidRDefault="0097758B" w:rsidP="0097758B">
            <w:pPr>
              <w:rPr>
                <w:b/>
                <w:i/>
                <w:sz w:val="18"/>
                <w:szCs w:val="18"/>
              </w:rPr>
            </w:pPr>
          </w:p>
          <w:p w:rsidR="0097758B" w:rsidRDefault="0097758B" w:rsidP="0097758B">
            <w:pPr>
              <w:rPr>
                <w:b/>
                <w:i/>
                <w:sz w:val="18"/>
                <w:szCs w:val="18"/>
              </w:rPr>
            </w:pPr>
          </w:p>
          <w:p w:rsidR="0097758B" w:rsidRDefault="0097758B" w:rsidP="0097758B">
            <w:pPr>
              <w:rPr>
                <w:b/>
                <w:i/>
                <w:sz w:val="18"/>
                <w:szCs w:val="18"/>
              </w:rPr>
            </w:pPr>
          </w:p>
          <w:p w:rsidR="0097758B" w:rsidRPr="00224307" w:rsidRDefault="0097758B" w:rsidP="0097758B">
            <w:pPr>
              <w:rPr>
                <w:b/>
                <w:i/>
                <w:sz w:val="18"/>
                <w:szCs w:val="18"/>
              </w:rPr>
            </w:pPr>
          </w:p>
        </w:tc>
        <w:tc>
          <w:tcPr>
            <w:tcW w:w="2362" w:type="dxa"/>
          </w:tcPr>
          <w:p w:rsidR="0097758B" w:rsidRDefault="0097758B" w:rsidP="0097758B"/>
        </w:tc>
        <w:tc>
          <w:tcPr>
            <w:tcW w:w="2362" w:type="dxa"/>
          </w:tcPr>
          <w:p w:rsidR="0097758B" w:rsidRDefault="0097758B" w:rsidP="0097758B"/>
        </w:tc>
        <w:tc>
          <w:tcPr>
            <w:tcW w:w="2362" w:type="dxa"/>
          </w:tcPr>
          <w:p w:rsidR="0097758B" w:rsidRDefault="0097758B" w:rsidP="0097758B"/>
        </w:tc>
        <w:tc>
          <w:tcPr>
            <w:tcW w:w="2363" w:type="dxa"/>
          </w:tcPr>
          <w:p w:rsidR="0097758B" w:rsidRDefault="0097758B" w:rsidP="0097758B"/>
        </w:tc>
        <w:tc>
          <w:tcPr>
            <w:tcW w:w="2363" w:type="dxa"/>
          </w:tcPr>
          <w:p w:rsidR="0097758B" w:rsidRDefault="0097758B" w:rsidP="0097758B"/>
        </w:tc>
      </w:tr>
      <w:tr w:rsidR="0097758B" w:rsidTr="00024891">
        <w:tc>
          <w:tcPr>
            <w:tcW w:w="2362" w:type="dxa"/>
          </w:tcPr>
          <w:p w:rsidR="0097758B" w:rsidRPr="00224307" w:rsidRDefault="0097758B" w:rsidP="0097758B">
            <w:pPr>
              <w:rPr>
                <w:b/>
                <w:i/>
                <w:sz w:val="18"/>
                <w:szCs w:val="18"/>
              </w:rPr>
            </w:pPr>
          </w:p>
          <w:p w:rsidR="0097758B" w:rsidRPr="00224307" w:rsidRDefault="0097758B" w:rsidP="0097758B">
            <w:pPr>
              <w:rPr>
                <w:b/>
                <w:i/>
                <w:sz w:val="18"/>
                <w:szCs w:val="18"/>
              </w:rPr>
            </w:pPr>
            <w:r w:rsidRPr="00224307">
              <w:rPr>
                <w:b/>
                <w:i/>
                <w:sz w:val="18"/>
                <w:szCs w:val="18"/>
              </w:rPr>
              <w:t>Key Event 2</w:t>
            </w:r>
          </w:p>
          <w:p w:rsidR="0097758B" w:rsidRPr="00224307" w:rsidRDefault="0097758B" w:rsidP="0097758B">
            <w:pPr>
              <w:rPr>
                <w:b/>
                <w:i/>
                <w:sz w:val="18"/>
                <w:szCs w:val="18"/>
              </w:rPr>
            </w:pPr>
          </w:p>
          <w:p w:rsidR="0097758B" w:rsidRDefault="0097758B" w:rsidP="0097758B">
            <w:pPr>
              <w:rPr>
                <w:b/>
                <w:i/>
                <w:sz w:val="18"/>
                <w:szCs w:val="18"/>
              </w:rPr>
            </w:pPr>
          </w:p>
          <w:p w:rsidR="0097758B" w:rsidRPr="00224307" w:rsidRDefault="0097758B" w:rsidP="0097758B">
            <w:pPr>
              <w:rPr>
                <w:b/>
                <w:i/>
                <w:sz w:val="18"/>
                <w:szCs w:val="18"/>
              </w:rPr>
            </w:pPr>
          </w:p>
          <w:p w:rsidR="0097758B" w:rsidRDefault="0097758B" w:rsidP="0097758B">
            <w:pPr>
              <w:rPr>
                <w:b/>
                <w:i/>
                <w:sz w:val="18"/>
                <w:szCs w:val="18"/>
              </w:rPr>
            </w:pPr>
          </w:p>
          <w:p w:rsidR="0097758B" w:rsidRPr="00224307" w:rsidRDefault="0097758B" w:rsidP="0097758B">
            <w:pPr>
              <w:rPr>
                <w:b/>
                <w:i/>
                <w:sz w:val="18"/>
                <w:szCs w:val="18"/>
              </w:rPr>
            </w:pPr>
          </w:p>
        </w:tc>
        <w:tc>
          <w:tcPr>
            <w:tcW w:w="2362" w:type="dxa"/>
          </w:tcPr>
          <w:p w:rsidR="0097758B" w:rsidRDefault="0097758B" w:rsidP="0097758B"/>
        </w:tc>
        <w:tc>
          <w:tcPr>
            <w:tcW w:w="2362" w:type="dxa"/>
          </w:tcPr>
          <w:p w:rsidR="0097758B" w:rsidRDefault="0097758B" w:rsidP="0097758B"/>
        </w:tc>
        <w:tc>
          <w:tcPr>
            <w:tcW w:w="2362" w:type="dxa"/>
          </w:tcPr>
          <w:p w:rsidR="0097758B" w:rsidRDefault="0097758B" w:rsidP="0097758B"/>
        </w:tc>
        <w:tc>
          <w:tcPr>
            <w:tcW w:w="2363" w:type="dxa"/>
          </w:tcPr>
          <w:p w:rsidR="0097758B" w:rsidRDefault="0097758B" w:rsidP="0097758B"/>
        </w:tc>
        <w:tc>
          <w:tcPr>
            <w:tcW w:w="2363" w:type="dxa"/>
          </w:tcPr>
          <w:p w:rsidR="0097758B" w:rsidRDefault="0097758B" w:rsidP="0097758B"/>
        </w:tc>
      </w:tr>
      <w:tr w:rsidR="0097758B" w:rsidTr="00024891">
        <w:tc>
          <w:tcPr>
            <w:tcW w:w="2362" w:type="dxa"/>
          </w:tcPr>
          <w:p w:rsidR="0097758B" w:rsidRPr="00224307" w:rsidRDefault="0097758B" w:rsidP="0097758B">
            <w:pPr>
              <w:rPr>
                <w:b/>
                <w:i/>
                <w:sz w:val="18"/>
                <w:szCs w:val="18"/>
              </w:rPr>
            </w:pPr>
            <w:r w:rsidRPr="00224307">
              <w:rPr>
                <w:b/>
                <w:i/>
                <w:sz w:val="18"/>
                <w:szCs w:val="18"/>
              </w:rPr>
              <w:t>Key Event 3</w:t>
            </w:r>
          </w:p>
          <w:p w:rsidR="0097758B" w:rsidRPr="00224307" w:rsidRDefault="0097758B" w:rsidP="0097758B">
            <w:pPr>
              <w:rPr>
                <w:b/>
                <w:i/>
                <w:sz w:val="18"/>
                <w:szCs w:val="18"/>
              </w:rPr>
            </w:pPr>
          </w:p>
          <w:p w:rsidR="0097758B" w:rsidRPr="00224307" w:rsidRDefault="0097758B" w:rsidP="0097758B">
            <w:pPr>
              <w:rPr>
                <w:b/>
                <w:i/>
                <w:sz w:val="18"/>
                <w:szCs w:val="18"/>
              </w:rPr>
            </w:pPr>
          </w:p>
          <w:p w:rsidR="0097758B" w:rsidRDefault="0097758B" w:rsidP="0097758B">
            <w:pPr>
              <w:rPr>
                <w:b/>
                <w:i/>
                <w:sz w:val="18"/>
                <w:szCs w:val="18"/>
              </w:rPr>
            </w:pPr>
          </w:p>
          <w:p w:rsidR="0097758B" w:rsidRDefault="0097758B" w:rsidP="0097758B">
            <w:pPr>
              <w:rPr>
                <w:b/>
                <w:i/>
                <w:sz w:val="18"/>
                <w:szCs w:val="18"/>
              </w:rPr>
            </w:pPr>
          </w:p>
          <w:p w:rsidR="0097758B" w:rsidRPr="00224307" w:rsidRDefault="0097758B" w:rsidP="0097758B">
            <w:pPr>
              <w:rPr>
                <w:b/>
                <w:i/>
                <w:sz w:val="18"/>
                <w:szCs w:val="18"/>
              </w:rPr>
            </w:pPr>
          </w:p>
          <w:p w:rsidR="0097758B" w:rsidRPr="00224307" w:rsidRDefault="0097758B" w:rsidP="0097758B">
            <w:pPr>
              <w:rPr>
                <w:b/>
                <w:i/>
                <w:sz w:val="18"/>
                <w:szCs w:val="18"/>
              </w:rPr>
            </w:pPr>
          </w:p>
        </w:tc>
        <w:tc>
          <w:tcPr>
            <w:tcW w:w="2362" w:type="dxa"/>
          </w:tcPr>
          <w:p w:rsidR="0097758B" w:rsidRDefault="0097758B" w:rsidP="0097758B"/>
        </w:tc>
        <w:tc>
          <w:tcPr>
            <w:tcW w:w="2362" w:type="dxa"/>
          </w:tcPr>
          <w:p w:rsidR="0097758B" w:rsidRDefault="0097758B" w:rsidP="0097758B"/>
        </w:tc>
        <w:tc>
          <w:tcPr>
            <w:tcW w:w="2362" w:type="dxa"/>
          </w:tcPr>
          <w:p w:rsidR="0097758B" w:rsidRDefault="0097758B" w:rsidP="0097758B"/>
        </w:tc>
        <w:tc>
          <w:tcPr>
            <w:tcW w:w="2363" w:type="dxa"/>
          </w:tcPr>
          <w:p w:rsidR="0097758B" w:rsidRDefault="0097758B" w:rsidP="0097758B"/>
        </w:tc>
        <w:tc>
          <w:tcPr>
            <w:tcW w:w="2363" w:type="dxa"/>
          </w:tcPr>
          <w:p w:rsidR="0097758B" w:rsidRDefault="0097758B" w:rsidP="0097758B"/>
        </w:tc>
      </w:tr>
      <w:tr w:rsidR="0097758B" w:rsidTr="00024891">
        <w:tc>
          <w:tcPr>
            <w:tcW w:w="2362" w:type="dxa"/>
          </w:tcPr>
          <w:p w:rsidR="0097758B" w:rsidRPr="00224307" w:rsidRDefault="0097758B" w:rsidP="0097758B">
            <w:pPr>
              <w:rPr>
                <w:b/>
                <w:i/>
                <w:sz w:val="18"/>
                <w:szCs w:val="18"/>
              </w:rPr>
            </w:pPr>
            <w:r w:rsidRPr="00224307">
              <w:rPr>
                <w:b/>
                <w:i/>
                <w:sz w:val="18"/>
                <w:szCs w:val="18"/>
              </w:rPr>
              <w:t>Key Event 4</w:t>
            </w:r>
          </w:p>
          <w:p w:rsidR="0097758B" w:rsidRPr="00224307" w:rsidRDefault="0097758B" w:rsidP="0097758B">
            <w:pPr>
              <w:rPr>
                <w:b/>
                <w:i/>
                <w:sz w:val="18"/>
                <w:szCs w:val="18"/>
              </w:rPr>
            </w:pPr>
          </w:p>
          <w:p w:rsidR="0097758B" w:rsidRDefault="0097758B" w:rsidP="0097758B">
            <w:pPr>
              <w:rPr>
                <w:b/>
                <w:i/>
                <w:sz w:val="18"/>
                <w:szCs w:val="18"/>
              </w:rPr>
            </w:pPr>
          </w:p>
          <w:p w:rsidR="0097758B" w:rsidRDefault="0097758B" w:rsidP="0097758B">
            <w:pPr>
              <w:rPr>
                <w:b/>
                <w:i/>
                <w:sz w:val="18"/>
                <w:szCs w:val="18"/>
              </w:rPr>
            </w:pPr>
          </w:p>
          <w:p w:rsidR="0097758B" w:rsidRPr="00224307" w:rsidRDefault="0097758B" w:rsidP="0097758B">
            <w:pPr>
              <w:rPr>
                <w:b/>
                <w:i/>
                <w:sz w:val="18"/>
                <w:szCs w:val="18"/>
              </w:rPr>
            </w:pPr>
          </w:p>
          <w:p w:rsidR="0097758B" w:rsidRPr="00224307" w:rsidRDefault="0097758B" w:rsidP="0097758B">
            <w:pPr>
              <w:rPr>
                <w:b/>
                <w:i/>
                <w:sz w:val="18"/>
                <w:szCs w:val="18"/>
              </w:rPr>
            </w:pPr>
          </w:p>
          <w:p w:rsidR="0097758B" w:rsidRPr="00224307" w:rsidRDefault="0097758B" w:rsidP="0097758B">
            <w:pPr>
              <w:rPr>
                <w:b/>
                <w:i/>
                <w:sz w:val="18"/>
                <w:szCs w:val="18"/>
              </w:rPr>
            </w:pPr>
          </w:p>
        </w:tc>
        <w:tc>
          <w:tcPr>
            <w:tcW w:w="2362" w:type="dxa"/>
          </w:tcPr>
          <w:p w:rsidR="0097758B" w:rsidRDefault="0097758B" w:rsidP="0097758B"/>
        </w:tc>
        <w:tc>
          <w:tcPr>
            <w:tcW w:w="2362" w:type="dxa"/>
          </w:tcPr>
          <w:p w:rsidR="0097758B" w:rsidRDefault="0097758B" w:rsidP="0097758B"/>
        </w:tc>
        <w:tc>
          <w:tcPr>
            <w:tcW w:w="2362" w:type="dxa"/>
          </w:tcPr>
          <w:p w:rsidR="0097758B" w:rsidRDefault="0097758B" w:rsidP="0097758B"/>
        </w:tc>
        <w:tc>
          <w:tcPr>
            <w:tcW w:w="2363" w:type="dxa"/>
          </w:tcPr>
          <w:p w:rsidR="0097758B" w:rsidRDefault="0097758B" w:rsidP="0097758B"/>
        </w:tc>
        <w:tc>
          <w:tcPr>
            <w:tcW w:w="2363" w:type="dxa"/>
          </w:tcPr>
          <w:p w:rsidR="0097758B" w:rsidRDefault="0097758B" w:rsidP="0097758B"/>
        </w:tc>
      </w:tr>
    </w:tbl>
    <w:p w:rsidR="004D05C1" w:rsidRPr="00D96D3F" w:rsidRDefault="004D05C1" w:rsidP="004D05C1">
      <w:pPr>
        <w:pStyle w:val="NormalWeb"/>
        <w:spacing w:before="0" w:beforeAutospacing="0" w:after="120" w:afterAutospacing="0"/>
        <w:rPr>
          <w:lang w:val="en"/>
        </w:rPr>
      </w:pPr>
      <w:r w:rsidRPr="003658C4">
        <w:rPr>
          <w:rFonts w:asciiTheme="minorHAnsi" w:eastAsiaTheme="minorHAnsi" w:hAnsiTheme="minorHAnsi" w:cstheme="minorBidi"/>
          <w:i/>
          <w:sz w:val="22"/>
          <w:szCs w:val="22"/>
          <w:lang w:eastAsia="en-US"/>
        </w:rPr>
        <w:t xml:space="preserve">See example </w:t>
      </w:r>
      <w:r>
        <w:rPr>
          <w:rFonts w:asciiTheme="minorHAnsi" w:eastAsiaTheme="minorHAnsi" w:hAnsiTheme="minorHAnsi" w:cstheme="minorBidi"/>
          <w:i/>
          <w:sz w:val="22"/>
          <w:szCs w:val="22"/>
          <w:lang w:eastAsia="en-US"/>
        </w:rPr>
        <w:t>in</w:t>
      </w:r>
      <w:r w:rsidRPr="003658C4">
        <w:rPr>
          <w:rFonts w:asciiTheme="minorHAnsi" w:eastAsiaTheme="minorHAnsi" w:hAnsiTheme="minorHAnsi" w:cstheme="minorBidi"/>
          <w:i/>
          <w:sz w:val="22"/>
          <w:szCs w:val="22"/>
          <w:lang w:eastAsia="en-US"/>
        </w:rPr>
        <w:t xml:space="preserve"> </w:t>
      </w:r>
      <w:r w:rsidRPr="004D05C1">
        <w:rPr>
          <w:rFonts w:asciiTheme="minorHAnsi" w:eastAsiaTheme="minorHAnsi" w:hAnsiTheme="minorHAnsi" w:cstheme="minorBidi"/>
          <w:i/>
          <w:sz w:val="22"/>
          <w:szCs w:val="22"/>
          <w:u w:val="single"/>
          <w:lang w:eastAsia="en-US"/>
        </w:rPr>
        <w:t>Table 2</w:t>
      </w:r>
      <w:r>
        <w:t xml:space="preserve"> </w:t>
      </w:r>
      <w:r w:rsidRPr="003658C4">
        <w:rPr>
          <w:rFonts w:asciiTheme="minorHAnsi" w:eastAsiaTheme="minorHAnsi" w:hAnsiTheme="minorHAnsi" w:cstheme="minorBidi"/>
          <w:i/>
          <w:sz w:val="22"/>
          <w:szCs w:val="22"/>
          <w:lang w:eastAsia="en-US"/>
        </w:rPr>
        <w:t>within</w:t>
      </w:r>
      <w:r>
        <w:rPr>
          <w:rFonts w:asciiTheme="minorHAnsi" w:eastAsiaTheme="minorHAnsi" w:hAnsiTheme="minorHAnsi" w:cstheme="minorBidi"/>
          <w:i/>
          <w:sz w:val="22"/>
          <w:szCs w:val="22"/>
          <w:lang w:eastAsia="en-US"/>
        </w:rPr>
        <w:t xml:space="preserve">: </w:t>
      </w:r>
      <w:r w:rsidRPr="003658C4">
        <w:rPr>
          <w:rFonts w:asciiTheme="minorHAnsi" w:eastAsiaTheme="minorHAnsi" w:hAnsiTheme="minorHAnsi" w:cstheme="minorBidi"/>
          <w:i/>
          <w:sz w:val="22"/>
          <w:szCs w:val="22"/>
          <w:lang w:eastAsia="en-US"/>
        </w:rPr>
        <w:t xml:space="preserve"> </w:t>
      </w:r>
      <w:r w:rsidRPr="00D73D82">
        <w:rPr>
          <w:rFonts w:asciiTheme="minorHAnsi" w:eastAsiaTheme="minorHAnsi" w:hAnsiTheme="minorHAnsi" w:cstheme="minorBidi"/>
          <w:i/>
          <w:sz w:val="22"/>
          <w:szCs w:val="22"/>
          <w:lang w:eastAsia="en-US"/>
        </w:rPr>
        <w:t>New developments in the evolution and application of the WHO/IPCS framework on mode of action/species concordance analysis (pages 1–18); M. E. Meek, A. Boobis, I. Cote, V. Dellarco, G. Fotakis, S. Munn, J. Seed and C. Vickers; Article first published online: 25 OCT 2013 Available</w:t>
      </w:r>
      <w:r w:rsidRPr="00D73D82">
        <w:rPr>
          <w:i/>
          <w:lang w:val="en"/>
        </w:rPr>
        <w:t xml:space="preserve"> </w:t>
      </w:r>
      <w:r w:rsidRPr="00D73D82">
        <w:rPr>
          <w:rFonts w:asciiTheme="minorHAnsi" w:eastAsiaTheme="minorHAnsi" w:hAnsiTheme="minorHAnsi" w:cstheme="minorBidi"/>
          <w:i/>
          <w:sz w:val="22"/>
          <w:szCs w:val="22"/>
          <w:lang w:eastAsia="en-US"/>
        </w:rPr>
        <w:t>at:</w:t>
      </w:r>
      <w:r w:rsidRPr="00D96D3F">
        <w:rPr>
          <w:rFonts w:asciiTheme="minorHAnsi" w:eastAsiaTheme="minorHAnsi" w:hAnsiTheme="minorHAnsi" w:cstheme="minorBidi"/>
          <w:sz w:val="22"/>
          <w:szCs w:val="22"/>
          <w:lang w:eastAsia="en-US"/>
        </w:rPr>
        <w:t xml:space="preserve"> </w:t>
      </w:r>
      <w:hyperlink r:id="rId22" w:history="1">
        <w:r w:rsidRPr="00D96D3F">
          <w:rPr>
            <w:rStyle w:val="Hyperlink"/>
            <w:rFonts w:asciiTheme="minorHAnsi" w:eastAsiaTheme="minorHAnsi" w:hAnsiTheme="minorHAnsi" w:cstheme="minorBidi"/>
            <w:b/>
            <w:sz w:val="22"/>
            <w:szCs w:val="22"/>
            <w:lang w:eastAsia="en-US"/>
          </w:rPr>
          <w:t>http://onlinelibrary.wiley.com/doi/10.1002/jat.v34.1/issuetoc</w:t>
        </w:r>
      </w:hyperlink>
      <w:r>
        <w:t xml:space="preserve"> </w:t>
      </w:r>
    </w:p>
    <w:p w:rsidR="00024891" w:rsidRPr="004D05C1" w:rsidRDefault="00024891" w:rsidP="000408A7">
      <w:pPr>
        <w:rPr>
          <w:b/>
          <w:lang w:val="en"/>
        </w:rPr>
      </w:pPr>
    </w:p>
    <w:p w:rsidR="00855FE1" w:rsidRDefault="009A69E4" w:rsidP="005D7722">
      <w:pPr>
        <w:jc w:val="both"/>
        <w:rPr>
          <w:i/>
        </w:rPr>
      </w:pPr>
      <w:r>
        <w:rPr>
          <w:i/>
        </w:rPr>
        <w:lastRenderedPageBreak/>
        <w:t xml:space="preserve">Assessment of concordance for each key event between and within species taking into account both chemical-specific and more generic information such as anatomical, physiological and biochemical variations. </w:t>
      </w:r>
      <w:r w:rsidR="00855FE1">
        <w:rPr>
          <w:i/>
        </w:rPr>
        <w:t xml:space="preserve">An example is available at </w:t>
      </w:r>
      <w:hyperlink r:id="rId23" w:history="1">
        <w:r w:rsidR="00855FE1" w:rsidRPr="00D96D3F">
          <w:rPr>
            <w:rStyle w:val="Hyperlink"/>
            <w:b/>
          </w:rPr>
          <w:t>http://onlinelibrary.wiley.com/doi/10.1002/jat.v34.1/issuetoc</w:t>
        </w:r>
      </w:hyperlink>
      <w:r w:rsidR="00855FE1">
        <w:rPr>
          <w:rStyle w:val="Hyperlink"/>
          <w:b/>
        </w:rPr>
        <w:t xml:space="preserve">. </w:t>
      </w:r>
    </w:p>
    <w:p w:rsidR="00097C4A" w:rsidRDefault="009A69E4" w:rsidP="005D7722">
      <w:pPr>
        <w:jc w:val="both"/>
        <w:rPr>
          <w:i/>
        </w:rPr>
      </w:pPr>
      <w:r>
        <w:rPr>
          <w:i/>
        </w:rPr>
        <w:t>In this section assessment of potential interspecies and interindividual differences in kinetics and dynamics are considered</w:t>
      </w:r>
      <w:r w:rsidR="003A1371">
        <w:rPr>
          <w:i/>
        </w:rPr>
        <w:t xml:space="preserve"> for each key event</w:t>
      </w:r>
      <w:r>
        <w:rPr>
          <w:i/>
        </w:rPr>
        <w:t xml:space="preserve">. </w:t>
      </w:r>
    </w:p>
    <w:p w:rsidR="003A1371" w:rsidRDefault="003A1371" w:rsidP="005D7722">
      <w:pPr>
        <w:jc w:val="both"/>
        <w:rPr>
          <w:i/>
        </w:rPr>
      </w:pPr>
      <w:r>
        <w:rPr>
          <w:i/>
        </w:rPr>
        <w:t xml:space="preserve">The conclusions for concordance analysis between and within species can be recorded using words like: plausible, likely, unlikely, evidence based etc. </w:t>
      </w:r>
    </w:p>
    <w:p w:rsidR="003A1371" w:rsidRDefault="003A1371" w:rsidP="005D7722">
      <w:pPr>
        <w:jc w:val="both"/>
        <w:rPr>
          <w:i/>
        </w:rPr>
      </w:pPr>
      <w:r>
        <w:rPr>
          <w:i/>
        </w:rPr>
        <w:t>In addition, for each key event confidence on the concordance analysis is filled in; this is usually done in a qualitative way (high, medium, low) and should be in line with the plausibility of each key event taking into account inconsistences and data/information availability (including quality of the data available). Uncertainty/confidence, if needed can be further elaborated under section 7 in free text format.</w:t>
      </w:r>
    </w:p>
    <w:p w:rsidR="009A69E4" w:rsidRDefault="009A69E4" w:rsidP="005D7722">
      <w:pPr>
        <w:jc w:val="both"/>
        <w:rPr>
          <w:i/>
        </w:rPr>
      </w:pPr>
      <w:r>
        <w:rPr>
          <w:i/>
        </w:rPr>
        <w:t>In this section the following needs to be considered:</w:t>
      </w:r>
    </w:p>
    <w:p w:rsidR="009A69E4" w:rsidRDefault="009A69E4" w:rsidP="00A117F8">
      <w:pPr>
        <w:pStyle w:val="ListParagraph"/>
        <w:numPr>
          <w:ilvl w:val="0"/>
          <w:numId w:val="6"/>
        </w:numPr>
        <w:jc w:val="both"/>
        <w:rPr>
          <w:i/>
        </w:rPr>
      </w:pPr>
      <w:r w:rsidRPr="00A117F8">
        <w:rPr>
          <w:i/>
        </w:rPr>
        <w:t>Is the weight of evidence sufficient to establish the hypothesised mode of</w:t>
      </w:r>
      <w:r w:rsidR="00F54116" w:rsidRPr="00A117F8">
        <w:rPr>
          <w:i/>
        </w:rPr>
        <w:t xml:space="preserve"> action in experimental species?</w:t>
      </w:r>
    </w:p>
    <w:p w:rsidR="00A117F8" w:rsidRPr="00A117F8" w:rsidRDefault="00A117F8" w:rsidP="00A117F8">
      <w:pPr>
        <w:pStyle w:val="ListParagraph"/>
        <w:jc w:val="both"/>
        <w:rPr>
          <w:i/>
        </w:rPr>
      </w:pPr>
    </w:p>
    <w:p w:rsidR="00456B8B" w:rsidRPr="005655A3" w:rsidRDefault="009A69E4" w:rsidP="005655A3">
      <w:pPr>
        <w:pStyle w:val="ListParagraph"/>
        <w:numPr>
          <w:ilvl w:val="0"/>
          <w:numId w:val="6"/>
        </w:numPr>
        <w:jc w:val="both"/>
        <w:rPr>
          <w:i/>
        </w:rPr>
      </w:pPr>
      <w:r w:rsidRPr="00A117F8">
        <w:rPr>
          <w:i/>
        </w:rPr>
        <w:t>Can human relevance of the specific mode of action be reasonably excluded on the basis of fundamental qualitative differences in key events between e</w:t>
      </w:r>
      <w:r w:rsidR="00456B8B">
        <w:rPr>
          <w:i/>
        </w:rPr>
        <w:t>xperi</w:t>
      </w:r>
      <w:r w:rsidR="00F54116" w:rsidRPr="00A117F8">
        <w:rPr>
          <w:i/>
        </w:rPr>
        <w:t>mental species and humans?</w:t>
      </w:r>
    </w:p>
    <w:p w:rsidR="00456B8B" w:rsidRPr="00456B8B" w:rsidRDefault="00456B8B" w:rsidP="00456B8B">
      <w:pPr>
        <w:pStyle w:val="ListParagraph"/>
        <w:jc w:val="both"/>
        <w:rPr>
          <w:i/>
        </w:rPr>
      </w:pPr>
    </w:p>
    <w:p w:rsidR="009A69E4" w:rsidRPr="00A117F8" w:rsidRDefault="00F54116" w:rsidP="00A117F8">
      <w:pPr>
        <w:pStyle w:val="ListParagraph"/>
        <w:numPr>
          <w:ilvl w:val="0"/>
          <w:numId w:val="6"/>
        </w:numPr>
        <w:jc w:val="both"/>
        <w:rPr>
          <w:i/>
        </w:rPr>
      </w:pPr>
      <w:r w:rsidRPr="00A117F8">
        <w:rPr>
          <w:i/>
        </w:rPr>
        <w:t>Can human relevance of the specific mode of action be reasonably excluded on the basis of quantitative differences in either kinetic or dynamic factors between experimental animals and humans?</w:t>
      </w:r>
    </w:p>
    <w:p w:rsidR="00BA5CA9" w:rsidRPr="00A74FCA" w:rsidRDefault="00F54116" w:rsidP="005D7722">
      <w:pPr>
        <w:jc w:val="both"/>
        <w:rPr>
          <w:i/>
        </w:rPr>
      </w:pPr>
      <w:r>
        <w:rPr>
          <w:i/>
        </w:rPr>
        <w:t xml:space="preserve">For the latter, depending on problem formulation, if the scope of the MoA analysis is for use in risk assessment of a </w:t>
      </w:r>
      <w:r w:rsidR="00430763">
        <w:rPr>
          <w:i/>
        </w:rPr>
        <w:t>chemical</w:t>
      </w:r>
      <w:r>
        <w:rPr>
          <w:i/>
        </w:rPr>
        <w:t xml:space="preserve">, and if the experimental MoA is likely to operate in humans, consideration of use chemical specific adjustment factors instead of default assessment factors should be considered </w:t>
      </w:r>
      <w:r w:rsidRPr="00A74FCA">
        <w:rPr>
          <w:i/>
        </w:rPr>
        <w:t>(additional guidance available at</w:t>
      </w:r>
      <w:r w:rsidR="00BA5CA9" w:rsidRPr="00A74FCA">
        <w:rPr>
          <w:i/>
        </w:rPr>
        <w:t xml:space="preserve">: </w:t>
      </w:r>
    </w:p>
    <w:p w:rsidR="00BA5CA9" w:rsidRPr="00A74FCA" w:rsidRDefault="00BA5CA9" w:rsidP="005D7722">
      <w:pPr>
        <w:jc w:val="both"/>
        <w:rPr>
          <w:i/>
        </w:rPr>
      </w:pPr>
      <w:r w:rsidRPr="00A74FCA">
        <w:rPr>
          <w:i/>
        </w:rPr>
        <w:t xml:space="preserve">WHO/IPCS Chemical Specific Adjustment Factors:  </w:t>
      </w:r>
      <w:hyperlink r:id="rId24" w:history="1">
        <w:r w:rsidRPr="00A74FCA">
          <w:rPr>
            <w:rStyle w:val="Hyperlink"/>
            <w:i/>
          </w:rPr>
          <w:t>http://www.who.int/ipcs/methods/harmonization/areas/uncertainty/en/</w:t>
        </w:r>
      </w:hyperlink>
      <w:r w:rsidRPr="00A74FCA">
        <w:rPr>
          <w:i/>
        </w:rPr>
        <w:t xml:space="preserve"> </w:t>
      </w:r>
    </w:p>
    <w:p w:rsidR="00F54116" w:rsidRPr="009A69E4" w:rsidRDefault="0097758B" w:rsidP="005D7722">
      <w:pPr>
        <w:jc w:val="both"/>
        <w:rPr>
          <w:i/>
        </w:rPr>
      </w:pPr>
      <w:r>
        <w:rPr>
          <w:i/>
        </w:rPr>
        <w:t>a</w:t>
      </w:r>
      <w:r w:rsidR="00BA5CA9" w:rsidRPr="00A74FCA">
        <w:rPr>
          <w:i/>
        </w:rPr>
        <w:t>nd within</w:t>
      </w:r>
      <w:r w:rsidR="00F54116" w:rsidRPr="00A74FCA">
        <w:rPr>
          <w:i/>
        </w:rPr>
        <w:t xml:space="preserve"> </w:t>
      </w:r>
      <w:r w:rsidR="00BA5CA9" w:rsidRPr="00A74FCA">
        <w:rPr>
          <w:i/>
        </w:rPr>
        <w:t>ECHA Guidance at:</w:t>
      </w:r>
      <w:r w:rsidR="00A74FCA">
        <w:rPr>
          <w:i/>
        </w:rPr>
        <w:t xml:space="preserve"> Part B, Chapter R.8 </w:t>
      </w:r>
      <w:hyperlink r:id="rId25" w:history="1">
        <w:r w:rsidR="00A74FCA" w:rsidRPr="004E2A74">
          <w:rPr>
            <w:rStyle w:val="Hyperlink"/>
            <w:i/>
          </w:rPr>
          <w:t>http://echa.europa.eu/guidance-documents/guidance-on-information-requirements-and-chemical-safety-assessment</w:t>
        </w:r>
      </w:hyperlink>
      <w:r w:rsidR="00BA5CA9" w:rsidRPr="00A74FCA">
        <w:rPr>
          <w:i/>
        </w:rPr>
        <w:t xml:space="preserve"> </w:t>
      </w:r>
      <w:r w:rsidR="00F54116" w:rsidRPr="00A74FCA">
        <w:rPr>
          <w:i/>
        </w:rPr>
        <w:t>)</w:t>
      </w:r>
    </w:p>
    <w:p w:rsidR="00BA5CA9" w:rsidRDefault="00E75FBC">
      <w:pPr>
        <w:rPr>
          <w:i/>
        </w:rPr>
      </w:pPr>
      <w:r>
        <w:rPr>
          <w:i/>
        </w:rPr>
        <w:lastRenderedPageBreak/>
        <w:t>In addition, the scope of the mode of action analysis may also need to include consideration of PBPK modelling approaches for example in case of species/systems extrapolations. Guidance on the use of PBPK modelling in risk assessment is available via WHO/IPCS at</w:t>
      </w:r>
      <w:r w:rsidR="00BA5CA9">
        <w:rPr>
          <w:i/>
        </w:rPr>
        <w:t xml:space="preserve"> </w:t>
      </w:r>
      <w:hyperlink r:id="rId26" w:history="1">
        <w:r w:rsidR="00BA5CA9" w:rsidRPr="004E2A74">
          <w:rPr>
            <w:rStyle w:val="Hyperlink"/>
            <w:i/>
          </w:rPr>
          <w:t>http://www.who.int/ipcs/methods/harmonization/areas/pbpk/en/</w:t>
        </w:r>
      </w:hyperlink>
      <w:r w:rsidR="00BA5CA9">
        <w:rPr>
          <w:i/>
        </w:rPr>
        <w:t xml:space="preserve">   </w:t>
      </w:r>
      <w:r>
        <w:rPr>
          <w:i/>
        </w:rPr>
        <w:t xml:space="preserve"> </w:t>
      </w:r>
    </w:p>
    <w:p w:rsidR="00504694" w:rsidRDefault="0097758B">
      <w:r>
        <w:rPr>
          <w:i/>
        </w:rPr>
        <w:t>a</w:t>
      </w:r>
      <w:r w:rsidR="00E75FBC" w:rsidRPr="00A74FCA">
        <w:rPr>
          <w:i/>
        </w:rPr>
        <w:t>nd within ECHA Guidance at:</w:t>
      </w:r>
      <w:r w:rsidR="00A74FCA" w:rsidRPr="00A74FCA">
        <w:rPr>
          <w:i/>
        </w:rPr>
        <w:t xml:space="preserve"> Part B, Chapter R.8 </w:t>
      </w:r>
      <w:hyperlink r:id="rId27" w:history="1">
        <w:r w:rsidR="00A74FCA" w:rsidRPr="00A74FCA">
          <w:rPr>
            <w:rStyle w:val="Hyperlink"/>
            <w:i/>
          </w:rPr>
          <w:t>http://echa.europa.eu/guidance-documents/guidance-on-information-requirements-and-chemical-safety-assessment</w:t>
        </w:r>
      </w:hyperlink>
      <w:r w:rsidR="00A74FCA">
        <w:rPr>
          <w:i/>
        </w:rPr>
        <w:t xml:space="preserve"> .</w:t>
      </w:r>
      <w:r w:rsidR="00504694">
        <w:br w:type="page"/>
      </w:r>
    </w:p>
    <w:p w:rsidR="00504694" w:rsidRPr="00504694" w:rsidRDefault="00504694" w:rsidP="00D73D82">
      <w:pPr>
        <w:pStyle w:val="ListParagraph"/>
        <w:numPr>
          <w:ilvl w:val="0"/>
          <w:numId w:val="5"/>
        </w:numPr>
        <w:rPr>
          <w:b/>
        </w:rPr>
      </w:pPr>
      <w:r w:rsidRPr="00504694">
        <w:rPr>
          <w:b/>
        </w:rPr>
        <w:lastRenderedPageBreak/>
        <w:t>Other potential Modes of Action</w:t>
      </w:r>
    </w:p>
    <w:p w:rsidR="00504694" w:rsidRPr="00C131C6" w:rsidRDefault="00C131C6" w:rsidP="00504694">
      <w:pPr>
        <w:rPr>
          <w:i/>
        </w:rPr>
      </w:pPr>
      <w:r>
        <w:rPr>
          <w:i/>
        </w:rPr>
        <w:t>Discuss if alternative modes of action for the specific (adverse) effect under consideration are likely. If there is supporting evidence a separate MoA analysis needs to be performed.</w:t>
      </w:r>
      <w:r w:rsidR="0097758B">
        <w:rPr>
          <w:i/>
        </w:rPr>
        <w:t xml:space="preserve"> Alternative modes of action should be distinguished from additional components of a single MoA that likely contribute to the observed effects; these should be addressed in the analysis of the principal MoA.</w:t>
      </w:r>
    </w:p>
    <w:p w:rsidR="006D1B31" w:rsidRPr="00275515" w:rsidRDefault="002F7217" w:rsidP="002F7217">
      <w:pPr>
        <w:jc w:val="center"/>
        <w:rPr>
          <w:b/>
          <w:u w:val="single"/>
        </w:rPr>
      </w:pPr>
      <w:r w:rsidRPr="00275515">
        <w:rPr>
          <w:b/>
          <w:u w:val="single"/>
        </w:rPr>
        <w:t>Comparative Weight of Evidence Table</w:t>
      </w:r>
    </w:p>
    <w:tbl>
      <w:tblPr>
        <w:tblStyle w:val="TableGrid"/>
        <w:tblpPr w:leftFromText="180" w:rightFromText="180" w:vertAnchor="text" w:tblpY="1"/>
        <w:tblOverlap w:val="never"/>
        <w:tblW w:w="0" w:type="auto"/>
        <w:tblLook w:val="04A0" w:firstRow="1" w:lastRow="0" w:firstColumn="1" w:lastColumn="0" w:noHBand="0" w:noVBand="1"/>
      </w:tblPr>
      <w:tblGrid>
        <w:gridCol w:w="1809"/>
        <w:gridCol w:w="1560"/>
        <w:gridCol w:w="2409"/>
      </w:tblGrid>
      <w:tr w:rsidR="006D1B31" w:rsidTr="000D3574">
        <w:trPr>
          <w:trHeight w:val="367"/>
        </w:trPr>
        <w:tc>
          <w:tcPr>
            <w:tcW w:w="1809" w:type="dxa"/>
          </w:tcPr>
          <w:p w:rsidR="006D1B31" w:rsidRDefault="006D1B31" w:rsidP="006D1B31">
            <w:pPr>
              <w:jc w:val="both"/>
              <w:rPr>
                <w:b/>
                <w:i/>
                <w:sz w:val="18"/>
                <w:szCs w:val="18"/>
              </w:rPr>
            </w:pPr>
            <w:r w:rsidRPr="00FB74A9">
              <w:rPr>
                <w:b/>
                <w:i/>
                <w:sz w:val="18"/>
                <w:szCs w:val="18"/>
              </w:rPr>
              <w:t>Bradford Hill Considerations</w:t>
            </w:r>
          </w:p>
          <w:p w:rsidR="006D1B31" w:rsidRDefault="006D1B31" w:rsidP="006D1B31">
            <w:pPr>
              <w:jc w:val="both"/>
              <w:rPr>
                <w:b/>
                <w:i/>
                <w:sz w:val="18"/>
                <w:szCs w:val="18"/>
              </w:rPr>
            </w:pPr>
          </w:p>
          <w:p w:rsidR="006D1B31" w:rsidRPr="00FB74A9" w:rsidRDefault="006D1B31" w:rsidP="006D1B31">
            <w:pPr>
              <w:jc w:val="both"/>
              <w:rPr>
                <w:b/>
                <w:i/>
                <w:sz w:val="18"/>
                <w:szCs w:val="18"/>
              </w:rPr>
            </w:pPr>
          </w:p>
        </w:tc>
        <w:tc>
          <w:tcPr>
            <w:tcW w:w="1560" w:type="dxa"/>
          </w:tcPr>
          <w:p w:rsidR="006D1B31" w:rsidRPr="00FB74A9" w:rsidRDefault="006D1B31" w:rsidP="006D1B31">
            <w:pPr>
              <w:jc w:val="both"/>
              <w:rPr>
                <w:b/>
                <w:i/>
                <w:sz w:val="18"/>
                <w:szCs w:val="18"/>
              </w:rPr>
            </w:pPr>
            <w:r w:rsidRPr="00FB74A9">
              <w:rPr>
                <w:b/>
                <w:i/>
                <w:sz w:val="18"/>
                <w:szCs w:val="18"/>
              </w:rPr>
              <w:t>Supporting Evidence</w:t>
            </w:r>
          </w:p>
        </w:tc>
        <w:tc>
          <w:tcPr>
            <w:tcW w:w="2409" w:type="dxa"/>
          </w:tcPr>
          <w:p w:rsidR="006D1B31" w:rsidRPr="00FB74A9" w:rsidRDefault="006D1B31" w:rsidP="006D1B31">
            <w:pPr>
              <w:jc w:val="both"/>
              <w:rPr>
                <w:b/>
                <w:i/>
                <w:sz w:val="18"/>
                <w:szCs w:val="18"/>
              </w:rPr>
            </w:pPr>
            <w:r w:rsidRPr="00FB74A9">
              <w:rPr>
                <w:b/>
                <w:i/>
                <w:sz w:val="18"/>
                <w:szCs w:val="18"/>
              </w:rPr>
              <w:t>Potentially Inconsistent Evidence</w:t>
            </w:r>
          </w:p>
        </w:tc>
      </w:tr>
      <w:tr w:rsidR="006D1B31" w:rsidTr="000D3574">
        <w:trPr>
          <w:trHeight w:val="1336"/>
        </w:trPr>
        <w:tc>
          <w:tcPr>
            <w:tcW w:w="1809" w:type="dxa"/>
          </w:tcPr>
          <w:p w:rsidR="006D1B31" w:rsidRDefault="006D1B31" w:rsidP="006D1B31">
            <w:pPr>
              <w:rPr>
                <w:b/>
                <w:i/>
                <w:sz w:val="18"/>
                <w:szCs w:val="18"/>
              </w:rPr>
            </w:pPr>
            <w:r>
              <w:rPr>
                <w:b/>
                <w:i/>
                <w:sz w:val="18"/>
                <w:szCs w:val="18"/>
              </w:rPr>
              <w:t xml:space="preserve"> Dose Response &amp; Temporal Concordance</w:t>
            </w:r>
          </w:p>
          <w:p w:rsidR="006D1B31" w:rsidRDefault="006D1B31" w:rsidP="006D1B31">
            <w:pPr>
              <w:rPr>
                <w:b/>
                <w:i/>
                <w:sz w:val="18"/>
                <w:szCs w:val="18"/>
              </w:rPr>
            </w:pPr>
          </w:p>
          <w:p w:rsidR="006D1B31" w:rsidRDefault="006D1B31" w:rsidP="006D1B31">
            <w:pPr>
              <w:rPr>
                <w:b/>
                <w:i/>
                <w:sz w:val="18"/>
                <w:szCs w:val="18"/>
              </w:rPr>
            </w:pPr>
          </w:p>
          <w:p w:rsidR="006D1B31" w:rsidRDefault="006D1B31" w:rsidP="006D1B31">
            <w:pPr>
              <w:rPr>
                <w:b/>
                <w:i/>
                <w:sz w:val="18"/>
                <w:szCs w:val="18"/>
              </w:rPr>
            </w:pPr>
          </w:p>
          <w:p w:rsidR="006D1B31" w:rsidRPr="00FB74A9" w:rsidRDefault="006D1B31" w:rsidP="006D1B31">
            <w:pPr>
              <w:rPr>
                <w:b/>
                <w:i/>
                <w:sz w:val="18"/>
                <w:szCs w:val="18"/>
              </w:rPr>
            </w:pPr>
          </w:p>
        </w:tc>
        <w:tc>
          <w:tcPr>
            <w:tcW w:w="1560" w:type="dxa"/>
          </w:tcPr>
          <w:p w:rsidR="006D1B31" w:rsidRDefault="006D1B31" w:rsidP="006D1B31"/>
          <w:p w:rsidR="006D1B31" w:rsidRDefault="006D1B31" w:rsidP="006D1B31"/>
          <w:p w:rsidR="006D1B31" w:rsidRDefault="006D1B31" w:rsidP="006D1B31"/>
          <w:p w:rsidR="006D1B31" w:rsidRDefault="006D1B31" w:rsidP="006D1B31"/>
        </w:tc>
        <w:tc>
          <w:tcPr>
            <w:tcW w:w="2409" w:type="dxa"/>
          </w:tcPr>
          <w:p w:rsidR="006D1B31" w:rsidRDefault="006D1B31" w:rsidP="006D1B31"/>
        </w:tc>
      </w:tr>
      <w:tr w:rsidR="006D1B31" w:rsidTr="000D3574">
        <w:trPr>
          <w:trHeight w:val="1329"/>
        </w:trPr>
        <w:tc>
          <w:tcPr>
            <w:tcW w:w="1809" w:type="dxa"/>
          </w:tcPr>
          <w:p w:rsidR="006D1B31" w:rsidRDefault="006D1B31" w:rsidP="006D1B31">
            <w:pPr>
              <w:rPr>
                <w:b/>
                <w:i/>
                <w:sz w:val="18"/>
                <w:szCs w:val="18"/>
              </w:rPr>
            </w:pPr>
            <w:r w:rsidRPr="00FB74A9">
              <w:rPr>
                <w:b/>
                <w:i/>
                <w:sz w:val="18"/>
                <w:szCs w:val="18"/>
              </w:rPr>
              <w:t>Consistency &amp; Specificity</w:t>
            </w:r>
          </w:p>
          <w:p w:rsidR="006D1B31" w:rsidRDefault="006D1B31" w:rsidP="006D1B31">
            <w:pPr>
              <w:rPr>
                <w:sz w:val="18"/>
                <w:szCs w:val="18"/>
              </w:rPr>
            </w:pPr>
          </w:p>
          <w:p w:rsidR="006D1B31" w:rsidRPr="00B52743" w:rsidRDefault="006D1B31" w:rsidP="006D1B31">
            <w:pPr>
              <w:rPr>
                <w:sz w:val="18"/>
                <w:szCs w:val="18"/>
              </w:rPr>
            </w:pPr>
          </w:p>
        </w:tc>
        <w:tc>
          <w:tcPr>
            <w:tcW w:w="1560" w:type="dxa"/>
          </w:tcPr>
          <w:p w:rsidR="006D1B31" w:rsidRDefault="006D1B31" w:rsidP="006D1B31"/>
          <w:p w:rsidR="006D1B31" w:rsidRDefault="006D1B31" w:rsidP="006D1B31"/>
          <w:p w:rsidR="006D1B31" w:rsidRDefault="006D1B31" w:rsidP="006D1B31"/>
          <w:p w:rsidR="006D1B31" w:rsidRDefault="006D1B31" w:rsidP="006D1B31"/>
          <w:p w:rsidR="006D1B31" w:rsidRDefault="006D1B31" w:rsidP="006D1B31"/>
        </w:tc>
        <w:tc>
          <w:tcPr>
            <w:tcW w:w="2409" w:type="dxa"/>
          </w:tcPr>
          <w:p w:rsidR="006D1B31" w:rsidRDefault="006D1B31" w:rsidP="006D1B31"/>
        </w:tc>
      </w:tr>
      <w:tr w:rsidR="006D1B31" w:rsidTr="000D3574">
        <w:trPr>
          <w:trHeight w:val="733"/>
        </w:trPr>
        <w:tc>
          <w:tcPr>
            <w:tcW w:w="1809" w:type="dxa"/>
          </w:tcPr>
          <w:p w:rsidR="006D1B31" w:rsidRDefault="006D1B31" w:rsidP="006D1B31">
            <w:pPr>
              <w:rPr>
                <w:b/>
                <w:i/>
                <w:sz w:val="18"/>
                <w:szCs w:val="18"/>
              </w:rPr>
            </w:pPr>
            <w:r>
              <w:rPr>
                <w:b/>
                <w:i/>
                <w:sz w:val="18"/>
                <w:szCs w:val="18"/>
              </w:rPr>
              <w:t>Biological Plausibility</w:t>
            </w:r>
          </w:p>
          <w:p w:rsidR="006D1B31" w:rsidRDefault="006D1B31" w:rsidP="006D1B31">
            <w:pPr>
              <w:rPr>
                <w:sz w:val="18"/>
                <w:szCs w:val="18"/>
              </w:rPr>
            </w:pPr>
          </w:p>
          <w:p w:rsidR="006D1B31" w:rsidRDefault="006D1B31" w:rsidP="006D1B31">
            <w:pPr>
              <w:rPr>
                <w:sz w:val="18"/>
                <w:szCs w:val="18"/>
              </w:rPr>
            </w:pPr>
          </w:p>
          <w:p w:rsidR="006D1B31" w:rsidRPr="00B52743" w:rsidRDefault="006D1B31" w:rsidP="006D1B31">
            <w:pPr>
              <w:rPr>
                <w:sz w:val="18"/>
                <w:szCs w:val="18"/>
              </w:rPr>
            </w:pPr>
          </w:p>
        </w:tc>
        <w:tc>
          <w:tcPr>
            <w:tcW w:w="1560" w:type="dxa"/>
          </w:tcPr>
          <w:p w:rsidR="006D1B31" w:rsidRDefault="006D1B31" w:rsidP="006D1B31"/>
          <w:p w:rsidR="006D1B31" w:rsidRDefault="006D1B31" w:rsidP="006D1B31"/>
          <w:p w:rsidR="006D1B31" w:rsidRDefault="006D1B31" w:rsidP="006D1B31"/>
        </w:tc>
        <w:tc>
          <w:tcPr>
            <w:tcW w:w="2409" w:type="dxa"/>
          </w:tcPr>
          <w:p w:rsidR="006D1B31" w:rsidRDefault="006D1B31" w:rsidP="006D1B31"/>
        </w:tc>
      </w:tr>
    </w:tbl>
    <w:tbl>
      <w:tblPr>
        <w:tblStyle w:val="TableGrid"/>
        <w:tblW w:w="0" w:type="auto"/>
        <w:tblInd w:w="1809" w:type="dxa"/>
        <w:tblLook w:val="04A0" w:firstRow="1" w:lastRow="0" w:firstColumn="1" w:lastColumn="0" w:noHBand="0" w:noVBand="1"/>
      </w:tblPr>
      <w:tblGrid>
        <w:gridCol w:w="2552"/>
        <w:gridCol w:w="1701"/>
        <w:gridCol w:w="1843"/>
      </w:tblGrid>
      <w:tr w:rsidR="006D1B31" w:rsidTr="000D3574">
        <w:trPr>
          <w:trHeight w:val="970"/>
        </w:trPr>
        <w:tc>
          <w:tcPr>
            <w:tcW w:w="2552" w:type="dxa"/>
          </w:tcPr>
          <w:p w:rsidR="006D1B31" w:rsidRDefault="006D1B31" w:rsidP="00C74607">
            <w:pPr>
              <w:jc w:val="both"/>
              <w:rPr>
                <w:b/>
                <w:i/>
                <w:sz w:val="18"/>
                <w:szCs w:val="18"/>
              </w:rPr>
            </w:pPr>
            <w:r w:rsidRPr="00FB74A9">
              <w:rPr>
                <w:b/>
                <w:i/>
                <w:sz w:val="18"/>
                <w:szCs w:val="18"/>
              </w:rPr>
              <w:t>Bradford Hill Considerations</w:t>
            </w:r>
          </w:p>
          <w:p w:rsidR="006D1B31" w:rsidRDefault="006D1B31" w:rsidP="00C74607">
            <w:pPr>
              <w:jc w:val="both"/>
              <w:rPr>
                <w:b/>
                <w:i/>
                <w:sz w:val="18"/>
                <w:szCs w:val="18"/>
              </w:rPr>
            </w:pPr>
          </w:p>
          <w:p w:rsidR="006D1B31" w:rsidRPr="00FB74A9" w:rsidRDefault="006D1B31" w:rsidP="00C74607">
            <w:pPr>
              <w:jc w:val="both"/>
              <w:rPr>
                <w:b/>
                <w:i/>
                <w:sz w:val="18"/>
                <w:szCs w:val="18"/>
              </w:rPr>
            </w:pPr>
          </w:p>
        </w:tc>
        <w:tc>
          <w:tcPr>
            <w:tcW w:w="1701" w:type="dxa"/>
          </w:tcPr>
          <w:p w:rsidR="006D1B31" w:rsidRPr="00FB74A9" w:rsidRDefault="006D1B31" w:rsidP="00C74607">
            <w:pPr>
              <w:jc w:val="both"/>
              <w:rPr>
                <w:b/>
                <w:i/>
                <w:sz w:val="18"/>
                <w:szCs w:val="18"/>
              </w:rPr>
            </w:pPr>
            <w:r w:rsidRPr="00FB74A9">
              <w:rPr>
                <w:b/>
                <w:i/>
                <w:sz w:val="18"/>
                <w:szCs w:val="18"/>
              </w:rPr>
              <w:t>Supporting Evidence</w:t>
            </w:r>
          </w:p>
        </w:tc>
        <w:tc>
          <w:tcPr>
            <w:tcW w:w="1843" w:type="dxa"/>
          </w:tcPr>
          <w:p w:rsidR="006D1B31" w:rsidRPr="00FB74A9" w:rsidRDefault="006D1B31" w:rsidP="00C74607">
            <w:pPr>
              <w:jc w:val="both"/>
              <w:rPr>
                <w:b/>
                <w:i/>
                <w:sz w:val="18"/>
                <w:szCs w:val="18"/>
              </w:rPr>
            </w:pPr>
            <w:r w:rsidRPr="00FB74A9">
              <w:rPr>
                <w:b/>
                <w:i/>
                <w:sz w:val="18"/>
                <w:szCs w:val="18"/>
              </w:rPr>
              <w:t>Potentially Inconsistent Evidence</w:t>
            </w:r>
          </w:p>
        </w:tc>
      </w:tr>
      <w:tr w:rsidR="006D1B31" w:rsidTr="000D3574">
        <w:trPr>
          <w:trHeight w:val="1394"/>
        </w:trPr>
        <w:tc>
          <w:tcPr>
            <w:tcW w:w="2552" w:type="dxa"/>
          </w:tcPr>
          <w:p w:rsidR="006D1B31" w:rsidRDefault="006D1B31" w:rsidP="00C74607">
            <w:pPr>
              <w:rPr>
                <w:b/>
                <w:i/>
                <w:sz w:val="18"/>
                <w:szCs w:val="18"/>
              </w:rPr>
            </w:pPr>
            <w:r>
              <w:rPr>
                <w:b/>
                <w:i/>
                <w:sz w:val="18"/>
                <w:szCs w:val="18"/>
              </w:rPr>
              <w:t xml:space="preserve"> Dose Response &amp; Temporal Concordance</w:t>
            </w:r>
          </w:p>
          <w:p w:rsidR="006D1B31" w:rsidRDefault="006D1B31" w:rsidP="00C74607">
            <w:pPr>
              <w:rPr>
                <w:b/>
                <w:i/>
                <w:sz w:val="18"/>
                <w:szCs w:val="18"/>
              </w:rPr>
            </w:pPr>
          </w:p>
          <w:p w:rsidR="006D1B31" w:rsidRDefault="006D1B31" w:rsidP="00C74607">
            <w:pPr>
              <w:rPr>
                <w:b/>
                <w:i/>
                <w:sz w:val="18"/>
                <w:szCs w:val="18"/>
              </w:rPr>
            </w:pPr>
          </w:p>
          <w:p w:rsidR="006D1B31" w:rsidRDefault="006D1B31" w:rsidP="00C74607">
            <w:pPr>
              <w:rPr>
                <w:b/>
                <w:i/>
                <w:sz w:val="18"/>
                <w:szCs w:val="18"/>
              </w:rPr>
            </w:pPr>
          </w:p>
          <w:p w:rsidR="006D1B31" w:rsidRPr="00FB74A9" w:rsidRDefault="006D1B31" w:rsidP="00C74607">
            <w:pPr>
              <w:rPr>
                <w:b/>
                <w:i/>
                <w:sz w:val="18"/>
                <w:szCs w:val="18"/>
              </w:rPr>
            </w:pPr>
          </w:p>
        </w:tc>
        <w:tc>
          <w:tcPr>
            <w:tcW w:w="1701" w:type="dxa"/>
          </w:tcPr>
          <w:p w:rsidR="006D1B31" w:rsidRDefault="006D1B31" w:rsidP="00C74607"/>
          <w:p w:rsidR="006D1B31" w:rsidRDefault="006D1B31" w:rsidP="00C74607"/>
          <w:p w:rsidR="006D1B31" w:rsidRDefault="006D1B31" w:rsidP="00C74607"/>
          <w:p w:rsidR="006D1B31" w:rsidRDefault="006D1B31" w:rsidP="00C74607"/>
        </w:tc>
        <w:tc>
          <w:tcPr>
            <w:tcW w:w="1843" w:type="dxa"/>
          </w:tcPr>
          <w:p w:rsidR="006D1B31" w:rsidRDefault="006D1B31" w:rsidP="00C74607"/>
        </w:tc>
      </w:tr>
      <w:tr w:rsidR="006D1B31" w:rsidTr="000D3574">
        <w:trPr>
          <w:trHeight w:val="1107"/>
        </w:trPr>
        <w:tc>
          <w:tcPr>
            <w:tcW w:w="2552" w:type="dxa"/>
          </w:tcPr>
          <w:p w:rsidR="006D1B31" w:rsidRDefault="006D1B31" w:rsidP="00C74607">
            <w:pPr>
              <w:rPr>
                <w:b/>
                <w:i/>
                <w:sz w:val="18"/>
                <w:szCs w:val="18"/>
              </w:rPr>
            </w:pPr>
            <w:r w:rsidRPr="00FB74A9">
              <w:rPr>
                <w:b/>
                <w:i/>
                <w:sz w:val="18"/>
                <w:szCs w:val="18"/>
              </w:rPr>
              <w:t>Consistency &amp; Specificity</w:t>
            </w:r>
          </w:p>
          <w:p w:rsidR="006D1B31" w:rsidRDefault="006D1B31" w:rsidP="00C74607">
            <w:pPr>
              <w:rPr>
                <w:sz w:val="18"/>
                <w:szCs w:val="18"/>
              </w:rPr>
            </w:pPr>
          </w:p>
          <w:p w:rsidR="006D1B31" w:rsidRPr="00B52743" w:rsidRDefault="006D1B31" w:rsidP="00C74607">
            <w:pPr>
              <w:rPr>
                <w:sz w:val="18"/>
                <w:szCs w:val="18"/>
              </w:rPr>
            </w:pPr>
          </w:p>
        </w:tc>
        <w:tc>
          <w:tcPr>
            <w:tcW w:w="1701" w:type="dxa"/>
          </w:tcPr>
          <w:p w:rsidR="006D1B31" w:rsidRDefault="006D1B31" w:rsidP="00C74607"/>
          <w:p w:rsidR="006D1B31" w:rsidRDefault="006D1B31" w:rsidP="00C74607"/>
          <w:p w:rsidR="006D1B31" w:rsidRDefault="006D1B31" w:rsidP="00C74607"/>
          <w:p w:rsidR="006D1B31" w:rsidRDefault="006D1B31" w:rsidP="00C74607"/>
          <w:p w:rsidR="006D1B31" w:rsidRDefault="006D1B31" w:rsidP="00C74607"/>
        </w:tc>
        <w:tc>
          <w:tcPr>
            <w:tcW w:w="1843" w:type="dxa"/>
          </w:tcPr>
          <w:p w:rsidR="006D1B31" w:rsidRDefault="006D1B31" w:rsidP="00C74607"/>
        </w:tc>
      </w:tr>
      <w:tr w:rsidR="006D1B31" w:rsidTr="000D3574">
        <w:trPr>
          <w:trHeight w:val="824"/>
        </w:trPr>
        <w:tc>
          <w:tcPr>
            <w:tcW w:w="2552" w:type="dxa"/>
          </w:tcPr>
          <w:p w:rsidR="006D1B31" w:rsidRDefault="006D1B31" w:rsidP="00C74607">
            <w:pPr>
              <w:rPr>
                <w:b/>
                <w:i/>
                <w:sz w:val="18"/>
                <w:szCs w:val="18"/>
              </w:rPr>
            </w:pPr>
            <w:r>
              <w:rPr>
                <w:b/>
                <w:i/>
                <w:sz w:val="18"/>
                <w:szCs w:val="18"/>
              </w:rPr>
              <w:t>Biological Plausibility</w:t>
            </w:r>
          </w:p>
          <w:p w:rsidR="006D1B31" w:rsidRDefault="006D1B31" w:rsidP="00C74607">
            <w:pPr>
              <w:rPr>
                <w:sz w:val="18"/>
                <w:szCs w:val="18"/>
              </w:rPr>
            </w:pPr>
          </w:p>
          <w:p w:rsidR="006D1B31" w:rsidRDefault="006D1B31" w:rsidP="00C74607">
            <w:pPr>
              <w:rPr>
                <w:sz w:val="18"/>
                <w:szCs w:val="18"/>
              </w:rPr>
            </w:pPr>
          </w:p>
          <w:p w:rsidR="006D1B31" w:rsidRPr="00B52743" w:rsidRDefault="006D1B31" w:rsidP="00C74607">
            <w:pPr>
              <w:rPr>
                <w:sz w:val="18"/>
                <w:szCs w:val="18"/>
              </w:rPr>
            </w:pPr>
          </w:p>
        </w:tc>
        <w:tc>
          <w:tcPr>
            <w:tcW w:w="1701" w:type="dxa"/>
          </w:tcPr>
          <w:p w:rsidR="006D1B31" w:rsidRDefault="006D1B31" w:rsidP="00C74607"/>
          <w:p w:rsidR="006D1B31" w:rsidRDefault="006D1B31" w:rsidP="00C74607"/>
          <w:p w:rsidR="006D1B31" w:rsidRDefault="006D1B31" w:rsidP="00C74607"/>
        </w:tc>
        <w:tc>
          <w:tcPr>
            <w:tcW w:w="1843" w:type="dxa"/>
          </w:tcPr>
          <w:p w:rsidR="006D1B31" w:rsidRDefault="006D1B31" w:rsidP="00C74607"/>
        </w:tc>
      </w:tr>
    </w:tbl>
    <w:p w:rsidR="004D05C1" w:rsidRPr="002F7217" w:rsidRDefault="006D1B31" w:rsidP="0097758B">
      <w:pPr>
        <w:rPr>
          <w:b/>
        </w:rPr>
      </w:pPr>
      <w:r>
        <w:rPr>
          <w:b/>
        </w:rPr>
        <w:br w:type="textWrapping" w:clear="all"/>
      </w:r>
      <w:r w:rsidR="0097758B">
        <w:rPr>
          <w:i/>
        </w:rPr>
        <w:t xml:space="preserve">This table can be used when two (or more) hypothesised modes of action need to be compared to enable to conclude on the most likely one. </w:t>
      </w:r>
    </w:p>
    <w:p w:rsidR="0097758B" w:rsidRPr="000408A7" w:rsidRDefault="0097758B" w:rsidP="0097758B">
      <w:pPr>
        <w:rPr>
          <w:i/>
        </w:rPr>
      </w:pPr>
      <w:r>
        <w:rPr>
          <w:i/>
        </w:rPr>
        <w:t xml:space="preserve">An example is available in </w:t>
      </w:r>
      <w:r w:rsidRPr="004D05C1">
        <w:rPr>
          <w:i/>
          <w:u w:val="single"/>
        </w:rPr>
        <w:t>figure 6</w:t>
      </w:r>
      <w:r>
        <w:rPr>
          <w:i/>
        </w:rPr>
        <w:t xml:space="preserve"> within the WHO/IPCS publication at: </w:t>
      </w:r>
      <w:hyperlink r:id="rId28" w:history="1">
        <w:r w:rsidRPr="00D96D3F">
          <w:rPr>
            <w:rStyle w:val="Hyperlink"/>
            <w:b/>
          </w:rPr>
          <w:t>http://onlinelibrary.wiley.com/doi/10.1002/jat.v34.1/issuetoc</w:t>
        </w:r>
      </w:hyperlink>
      <w:r>
        <w:rPr>
          <w:rStyle w:val="Hyperlink"/>
          <w:b/>
        </w:rPr>
        <w:t xml:space="preserve"> </w:t>
      </w:r>
    </w:p>
    <w:p w:rsidR="00B52743" w:rsidRDefault="00B52743">
      <w:pPr>
        <w:rPr>
          <w:b/>
        </w:rPr>
      </w:pPr>
      <w:r>
        <w:rPr>
          <w:b/>
        </w:rPr>
        <w:br w:type="page"/>
      </w:r>
    </w:p>
    <w:p w:rsidR="00504694" w:rsidRDefault="00504694" w:rsidP="00D73D82">
      <w:pPr>
        <w:pStyle w:val="ListParagraph"/>
        <w:numPr>
          <w:ilvl w:val="0"/>
          <w:numId w:val="5"/>
        </w:numPr>
        <w:rPr>
          <w:b/>
        </w:rPr>
      </w:pPr>
      <w:r w:rsidRPr="00504694">
        <w:rPr>
          <w:b/>
        </w:rPr>
        <w:lastRenderedPageBreak/>
        <w:t xml:space="preserve">Uncertainties/Inconsistencies </w:t>
      </w:r>
      <w:r w:rsidR="00B417F3">
        <w:rPr>
          <w:b/>
        </w:rPr>
        <w:t xml:space="preserve">and Identification of </w:t>
      </w:r>
      <w:r w:rsidRPr="00504694">
        <w:rPr>
          <w:b/>
        </w:rPr>
        <w:t>Data Gaps</w:t>
      </w:r>
    </w:p>
    <w:p w:rsidR="00B417F3" w:rsidRDefault="00B417F3" w:rsidP="00B417F3">
      <w:pPr>
        <w:pStyle w:val="ListParagraph"/>
        <w:rPr>
          <w:b/>
        </w:rPr>
      </w:pPr>
    </w:p>
    <w:p w:rsidR="00B417F3" w:rsidRDefault="00C131C6" w:rsidP="00C131C6">
      <w:pPr>
        <w:rPr>
          <w:i/>
        </w:rPr>
      </w:pPr>
      <w:r>
        <w:rPr>
          <w:i/>
        </w:rPr>
        <w:t>Describe any remaining uncertainties and identify potential data gaps taking into account the conclusions drawn in section 6. In case for certain key events the available evidence is weak in experimental species and/or the human concordance is not strong enough for the purpose of the specific problem formulation, additional information and/or data may be needed to increase the confidence.</w:t>
      </w:r>
    </w:p>
    <w:p w:rsidR="00A66D7A" w:rsidRDefault="00A66D7A" w:rsidP="00A66D7A">
      <w:pPr>
        <w:spacing w:after="120"/>
        <w:jc w:val="both"/>
        <w:rPr>
          <w:i/>
        </w:rPr>
      </w:pPr>
      <w:r>
        <w:t xml:space="preserve">Examples are available in </w:t>
      </w:r>
      <w:r w:rsidRPr="00AE0051">
        <w:rPr>
          <w:i/>
        </w:rPr>
        <w:t>Part I and Part II Harmonisation Series Guidance available at:</w:t>
      </w:r>
    </w:p>
    <w:p w:rsidR="00A66D7A" w:rsidRPr="00AE0051" w:rsidRDefault="00A66D7A" w:rsidP="00A66D7A">
      <w:pPr>
        <w:spacing w:after="120"/>
        <w:jc w:val="both"/>
      </w:pPr>
      <w:r w:rsidRPr="00AE0051">
        <w:rPr>
          <w:b/>
        </w:rPr>
        <w:t xml:space="preserve"> </w:t>
      </w:r>
      <w:hyperlink r:id="rId29" w:history="1">
        <w:r w:rsidRPr="00AE0051">
          <w:rPr>
            <w:rStyle w:val="Hyperlink"/>
            <w:b/>
          </w:rPr>
          <w:t>http://www.who.int/ipcs/methods/harmonization/areas/cancer_mode.pdf?ua=1</w:t>
        </w:r>
      </w:hyperlink>
      <w:r>
        <w:rPr>
          <w:rStyle w:val="Hyperlink"/>
          <w:u w:val="none"/>
        </w:rPr>
        <w:t xml:space="preserve"> </w:t>
      </w:r>
    </w:p>
    <w:p w:rsidR="00E75FBC" w:rsidRPr="00C131C6" w:rsidRDefault="00E75FBC" w:rsidP="00C131C6">
      <w:pPr>
        <w:rPr>
          <w:i/>
        </w:rPr>
      </w:pPr>
      <w:r>
        <w:rPr>
          <w:i/>
        </w:rPr>
        <w:t xml:space="preserve">Although uncertainties/inconsistencies in most cases are described in a qualitative way (using words like high, medium, low), if the data available allows quantification of uncertainty may be possible especially if this is needed from the problem formulation step. Further guidance on uncertainty analysis is available at: </w:t>
      </w:r>
      <w:hyperlink r:id="rId30" w:history="1">
        <w:r w:rsidR="00BA5CA9" w:rsidRPr="004E2A74">
          <w:rPr>
            <w:rStyle w:val="Hyperlink"/>
            <w:i/>
          </w:rPr>
          <w:t>http://www.who.int/ipcs/methods/harmonization/areas/hazard_assessment/en/</w:t>
        </w:r>
      </w:hyperlink>
      <w:r w:rsidR="00BA5CA9">
        <w:rPr>
          <w:i/>
        </w:rPr>
        <w:t xml:space="preserve"> </w:t>
      </w:r>
    </w:p>
    <w:p w:rsidR="00B417F3" w:rsidRPr="00AE0051" w:rsidRDefault="00B417F3" w:rsidP="00AE0051"/>
    <w:p w:rsidR="00B417F3" w:rsidRDefault="00B417F3">
      <w:pPr>
        <w:rPr>
          <w:b/>
        </w:rPr>
      </w:pPr>
      <w:r>
        <w:rPr>
          <w:b/>
        </w:rPr>
        <w:br w:type="page"/>
      </w:r>
    </w:p>
    <w:p w:rsidR="00B417F3" w:rsidRPr="00504694" w:rsidRDefault="00B417F3" w:rsidP="00D73D82">
      <w:pPr>
        <w:pStyle w:val="ListParagraph"/>
        <w:numPr>
          <w:ilvl w:val="0"/>
          <w:numId w:val="5"/>
        </w:numPr>
        <w:rPr>
          <w:b/>
        </w:rPr>
      </w:pPr>
      <w:r>
        <w:rPr>
          <w:b/>
        </w:rPr>
        <w:lastRenderedPageBreak/>
        <w:t>Conclusions in relation to problem formulation</w:t>
      </w:r>
    </w:p>
    <w:p w:rsidR="00504694" w:rsidRDefault="00504694" w:rsidP="00504694"/>
    <w:p w:rsidR="00097C4A" w:rsidRDefault="00097C4A"/>
    <w:sectPr w:rsidR="00097C4A" w:rsidSect="00017AEC">
      <w:footerReference w:type="default" r:id="rId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F0" w:rsidRDefault="00B95BF0" w:rsidP="00B95BF0">
      <w:pPr>
        <w:spacing w:after="0" w:line="240" w:lineRule="auto"/>
      </w:pPr>
      <w:r>
        <w:separator/>
      </w:r>
    </w:p>
  </w:endnote>
  <w:endnote w:type="continuationSeparator" w:id="0">
    <w:p w:rsidR="00B95BF0" w:rsidRDefault="00B95BF0" w:rsidP="00B95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256700"/>
      <w:docPartObj>
        <w:docPartGallery w:val="Page Numbers (Bottom of Page)"/>
        <w:docPartUnique/>
      </w:docPartObj>
    </w:sdtPr>
    <w:sdtEndPr>
      <w:rPr>
        <w:noProof/>
      </w:rPr>
    </w:sdtEndPr>
    <w:sdtContent>
      <w:p w:rsidR="00B95BF0" w:rsidRDefault="00B95BF0">
        <w:pPr>
          <w:pStyle w:val="Footer"/>
          <w:jc w:val="right"/>
        </w:pPr>
        <w:r>
          <w:fldChar w:fldCharType="begin"/>
        </w:r>
        <w:r>
          <w:instrText xml:space="preserve"> PAGE   \* MERGEFORMAT </w:instrText>
        </w:r>
        <w:r>
          <w:fldChar w:fldCharType="separate"/>
        </w:r>
        <w:r w:rsidR="00F574BC">
          <w:rPr>
            <w:noProof/>
          </w:rPr>
          <w:t>1</w:t>
        </w:r>
        <w:r>
          <w:rPr>
            <w:noProof/>
          </w:rPr>
          <w:fldChar w:fldCharType="end"/>
        </w:r>
      </w:p>
    </w:sdtContent>
  </w:sdt>
  <w:p w:rsidR="00B95BF0" w:rsidRDefault="00B95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F0" w:rsidRDefault="00B95BF0" w:rsidP="00B95BF0">
      <w:pPr>
        <w:spacing w:after="0" w:line="240" w:lineRule="auto"/>
      </w:pPr>
      <w:r>
        <w:separator/>
      </w:r>
    </w:p>
  </w:footnote>
  <w:footnote w:type="continuationSeparator" w:id="0">
    <w:p w:rsidR="00B95BF0" w:rsidRDefault="00B95BF0" w:rsidP="00B95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D6BEB"/>
    <w:multiLevelType w:val="hybridMultilevel"/>
    <w:tmpl w:val="E304BF80"/>
    <w:lvl w:ilvl="0" w:tplc="4A8EB8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032611"/>
    <w:multiLevelType w:val="hybridMultilevel"/>
    <w:tmpl w:val="01D46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0B491A"/>
    <w:multiLevelType w:val="hybridMultilevel"/>
    <w:tmpl w:val="3AF0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2B34B2"/>
    <w:multiLevelType w:val="hybridMultilevel"/>
    <w:tmpl w:val="83E8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A43B69"/>
    <w:multiLevelType w:val="multilevel"/>
    <w:tmpl w:val="E92C0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B8464F"/>
    <w:multiLevelType w:val="hybridMultilevel"/>
    <w:tmpl w:val="752A3848"/>
    <w:lvl w:ilvl="0" w:tplc="B28295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B5893"/>
    <w:rsid w:val="00005D69"/>
    <w:rsid w:val="00017AEC"/>
    <w:rsid w:val="00021197"/>
    <w:rsid w:val="00024891"/>
    <w:rsid w:val="000408A7"/>
    <w:rsid w:val="000821AD"/>
    <w:rsid w:val="0009489B"/>
    <w:rsid w:val="00097C4A"/>
    <w:rsid w:val="000B5893"/>
    <w:rsid w:val="000C2FD4"/>
    <w:rsid w:val="000D3574"/>
    <w:rsid w:val="00102E1D"/>
    <w:rsid w:val="00111853"/>
    <w:rsid w:val="00121B13"/>
    <w:rsid w:val="001348C9"/>
    <w:rsid w:val="00137FA4"/>
    <w:rsid w:val="00142ED0"/>
    <w:rsid w:val="00191072"/>
    <w:rsid w:val="001B4E7E"/>
    <w:rsid w:val="00214609"/>
    <w:rsid w:val="00224307"/>
    <w:rsid w:val="00236C1C"/>
    <w:rsid w:val="002536DE"/>
    <w:rsid w:val="00264FA5"/>
    <w:rsid w:val="00275515"/>
    <w:rsid w:val="002A68BB"/>
    <w:rsid w:val="002F7217"/>
    <w:rsid w:val="00364D77"/>
    <w:rsid w:val="003658C4"/>
    <w:rsid w:val="003A1371"/>
    <w:rsid w:val="00402467"/>
    <w:rsid w:val="00425D62"/>
    <w:rsid w:val="00430763"/>
    <w:rsid w:val="00434D47"/>
    <w:rsid w:val="00456B8B"/>
    <w:rsid w:val="00467C0E"/>
    <w:rsid w:val="00482CEC"/>
    <w:rsid w:val="004B4024"/>
    <w:rsid w:val="004C2B58"/>
    <w:rsid w:val="004D05C1"/>
    <w:rsid w:val="004D58B1"/>
    <w:rsid w:val="004E53C1"/>
    <w:rsid w:val="00504694"/>
    <w:rsid w:val="00533139"/>
    <w:rsid w:val="005655A3"/>
    <w:rsid w:val="005735A0"/>
    <w:rsid w:val="005A1177"/>
    <w:rsid w:val="005A4439"/>
    <w:rsid w:val="005C2EE4"/>
    <w:rsid w:val="005D7722"/>
    <w:rsid w:val="00657C6F"/>
    <w:rsid w:val="00697F77"/>
    <w:rsid w:val="006C1EBA"/>
    <w:rsid w:val="006D1B31"/>
    <w:rsid w:val="006E0A38"/>
    <w:rsid w:val="00740A75"/>
    <w:rsid w:val="007802EF"/>
    <w:rsid w:val="007B4789"/>
    <w:rsid w:val="007B58E5"/>
    <w:rsid w:val="00855FE1"/>
    <w:rsid w:val="008A278E"/>
    <w:rsid w:val="008F252B"/>
    <w:rsid w:val="0091316B"/>
    <w:rsid w:val="00943CF6"/>
    <w:rsid w:val="009664A8"/>
    <w:rsid w:val="00973789"/>
    <w:rsid w:val="0097758B"/>
    <w:rsid w:val="009A69E4"/>
    <w:rsid w:val="009E32B2"/>
    <w:rsid w:val="009F5ED1"/>
    <w:rsid w:val="00A117F8"/>
    <w:rsid w:val="00A66D7A"/>
    <w:rsid w:val="00A74FCA"/>
    <w:rsid w:val="00AE0051"/>
    <w:rsid w:val="00B13E1A"/>
    <w:rsid w:val="00B26285"/>
    <w:rsid w:val="00B417F3"/>
    <w:rsid w:val="00B52743"/>
    <w:rsid w:val="00B56C15"/>
    <w:rsid w:val="00B618D7"/>
    <w:rsid w:val="00B81BDE"/>
    <w:rsid w:val="00B87ACB"/>
    <w:rsid w:val="00B95BF0"/>
    <w:rsid w:val="00BA5CA9"/>
    <w:rsid w:val="00BE5BA1"/>
    <w:rsid w:val="00BE60D5"/>
    <w:rsid w:val="00C005CF"/>
    <w:rsid w:val="00C131C6"/>
    <w:rsid w:val="00C4498D"/>
    <w:rsid w:val="00C53916"/>
    <w:rsid w:val="00CA3690"/>
    <w:rsid w:val="00CA3EE7"/>
    <w:rsid w:val="00CB1857"/>
    <w:rsid w:val="00D532B9"/>
    <w:rsid w:val="00D73D82"/>
    <w:rsid w:val="00D75FC8"/>
    <w:rsid w:val="00D96D3F"/>
    <w:rsid w:val="00DC1B44"/>
    <w:rsid w:val="00DE5FAE"/>
    <w:rsid w:val="00DF2607"/>
    <w:rsid w:val="00DF7D3B"/>
    <w:rsid w:val="00E12B8A"/>
    <w:rsid w:val="00E411EA"/>
    <w:rsid w:val="00E75FBC"/>
    <w:rsid w:val="00E85BAC"/>
    <w:rsid w:val="00EC5F44"/>
    <w:rsid w:val="00ED11C9"/>
    <w:rsid w:val="00F006B0"/>
    <w:rsid w:val="00F107EF"/>
    <w:rsid w:val="00F54116"/>
    <w:rsid w:val="00F574BC"/>
    <w:rsid w:val="00F6571B"/>
    <w:rsid w:val="00FB74A9"/>
    <w:rsid w:val="00FC3B4F"/>
    <w:rsid w:val="00FC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8C9"/>
    <w:pPr>
      <w:ind w:left="720"/>
      <w:contextualSpacing/>
    </w:pPr>
  </w:style>
  <w:style w:type="paragraph" w:styleId="Header">
    <w:name w:val="header"/>
    <w:basedOn w:val="Normal"/>
    <w:link w:val="HeaderChar"/>
    <w:uiPriority w:val="99"/>
    <w:unhideWhenUsed/>
    <w:rsid w:val="00B95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BF0"/>
  </w:style>
  <w:style w:type="paragraph" w:styleId="Footer">
    <w:name w:val="footer"/>
    <w:basedOn w:val="Normal"/>
    <w:link w:val="FooterChar"/>
    <w:uiPriority w:val="99"/>
    <w:unhideWhenUsed/>
    <w:rsid w:val="00B95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BF0"/>
  </w:style>
  <w:style w:type="character" w:styleId="Hyperlink">
    <w:name w:val="Hyperlink"/>
    <w:basedOn w:val="DefaultParagraphFont"/>
    <w:uiPriority w:val="99"/>
    <w:unhideWhenUsed/>
    <w:rsid w:val="00E85BAC"/>
    <w:rPr>
      <w:color w:val="0000FF" w:themeColor="hyperlink"/>
      <w:u w:val="single"/>
    </w:rPr>
  </w:style>
  <w:style w:type="paragraph" w:styleId="NormalWeb">
    <w:name w:val="Normal (Web)"/>
    <w:basedOn w:val="Normal"/>
    <w:uiPriority w:val="99"/>
    <w:unhideWhenUsed/>
    <w:rsid w:val="00E85B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408A7"/>
    <w:rPr>
      <w:color w:val="800080" w:themeColor="followedHyperlink"/>
      <w:u w:val="single"/>
    </w:rPr>
  </w:style>
  <w:style w:type="character" w:styleId="CommentReference">
    <w:name w:val="annotation reference"/>
    <w:basedOn w:val="DefaultParagraphFont"/>
    <w:uiPriority w:val="99"/>
    <w:semiHidden/>
    <w:unhideWhenUsed/>
    <w:rsid w:val="00121B13"/>
    <w:rPr>
      <w:sz w:val="16"/>
      <w:szCs w:val="16"/>
    </w:rPr>
  </w:style>
  <w:style w:type="paragraph" w:styleId="CommentText">
    <w:name w:val="annotation text"/>
    <w:basedOn w:val="Normal"/>
    <w:link w:val="CommentTextChar"/>
    <w:uiPriority w:val="99"/>
    <w:semiHidden/>
    <w:unhideWhenUsed/>
    <w:rsid w:val="00121B13"/>
    <w:pPr>
      <w:spacing w:line="240" w:lineRule="auto"/>
    </w:pPr>
    <w:rPr>
      <w:sz w:val="20"/>
      <w:szCs w:val="20"/>
    </w:rPr>
  </w:style>
  <w:style w:type="character" w:customStyle="1" w:styleId="CommentTextChar">
    <w:name w:val="Comment Text Char"/>
    <w:basedOn w:val="DefaultParagraphFont"/>
    <w:link w:val="CommentText"/>
    <w:uiPriority w:val="99"/>
    <w:semiHidden/>
    <w:rsid w:val="00121B13"/>
    <w:rPr>
      <w:sz w:val="20"/>
      <w:szCs w:val="20"/>
    </w:rPr>
  </w:style>
  <w:style w:type="paragraph" w:styleId="CommentSubject">
    <w:name w:val="annotation subject"/>
    <w:basedOn w:val="CommentText"/>
    <w:next w:val="CommentText"/>
    <w:link w:val="CommentSubjectChar"/>
    <w:uiPriority w:val="99"/>
    <w:semiHidden/>
    <w:unhideWhenUsed/>
    <w:rsid w:val="00121B13"/>
    <w:rPr>
      <w:b/>
      <w:bCs/>
    </w:rPr>
  </w:style>
  <w:style w:type="character" w:customStyle="1" w:styleId="CommentSubjectChar">
    <w:name w:val="Comment Subject Char"/>
    <w:basedOn w:val="CommentTextChar"/>
    <w:link w:val="CommentSubject"/>
    <w:uiPriority w:val="99"/>
    <w:semiHidden/>
    <w:rsid w:val="00121B13"/>
    <w:rPr>
      <w:b/>
      <w:bCs/>
      <w:sz w:val="20"/>
      <w:szCs w:val="20"/>
    </w:rPr>
  </w:style>
  <w:style w:type="paragraph" w:styleId="BalloonText">
    <w:name w:val="Balloon Text"/>
    <w:basedOn w:val="Normal"/>
    <w:link w:val="BalloonTextChar"/>
    <w:uiPriority w:val="99"/>
    <w:semiHidden/>
    <w:unhideWhenUsed/>
    <w:rsid w:val="0012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B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8C9"/>
    <w:pPr>
      <w:ind w:left="720"/>
      <w:contextualSpacing/>
    </w:pPr>
  </w:style>
  <w:style w:type="paragraph" w:styleId="Header">
    <w:name w:val="header"/>
    <w:basedOn w:val="Normal"/>
    <w:link w:val="HeaderChar"/>
    <w:uiPriority w:val="99"/>
    <w:unhideWhenUsed/>
    <w:rsid w:val="00B95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BF0"/>
  </w:style>
  <w:style w:type="paragraph" w:styleId="Footer">
    <w:name w:val="footer"/>
    <w:basedOn w:val="Normal"/>
    <w:link w:val="FooterChar"/>
    <w:uiPriority w:val="99"/>
    <w:unhideWhenUsed/>
    <w:rsid w:val="00B95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BF0"/>
  </w:style>
  <w:style w:type="character" w:styleId="Hyperlink">
    <w:name w:val="Hyperlink"/>
    <w:basedOn w:val="DefaultParagraphFont"/>
    <w:uiPriority w:val="99"/>
    <w:unhideWhenUsed/>
    <w:rsid w:val="00E85BAC"/>
    <w:rPr>
      <w:color w:val="0000FF" w:themeColor="hyperlink"/>
      <w:u w:val="single"/>
    </w:rPr>
  </w:style>
  <w:style w:type="paragraph" w:styleId="NormalWeb">
    <w:name w:val="Normal (Web)"/>
    <w:basedOn w:val="Normal"/>
    <w:uiPriority w:val="99"/>
    <w:unhideWhenUsed/>
    <w:rsid w:val="00E85B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408A7"/>
    <w:rPr>
      <w:color w:val="800080" w:themeColor="followedHyperlink"/>
      <w:u w:val="single"/>
    </w:rPr>
  </w:style>
  <w:style w:type="character" w:styleId="CommentReference">
    <w:name w:val="annotation reference"/>
    <w:basedOn w:val="DefaultParagraphFont"/>
    <w:uiPriority w:val="99"/>
    <w:semiHidden/>
    <w:unhideWhenUsed/>
    <w:rsid w:val="00121B13"/>
    <w:rPr>
      <w:sz w:val="16"/>
      <w:szCs w:val="16"/>
    </w:rPr>
  </w:style>
  <w:style w:type="paragraph" w:styleId="CommentText">
    <w:name w:val="annotation text"/>
    <w:basedOn w:val="Normal"/>
    <w:link w:val="CommentTextChar"/>
    <w:uiPriority w:val="99"/>
    <w:semiHidden/>
    <w:unhideWhenUsed/>
    <w:rsid w:val="00121B13"/>
    <w:pPr>
      <w:spacing w:line="240" w:lineRule="auto"/>
    </w:pPr>
    <w:rPr>
      <w:sz w:val="20"/>
      <w:szCs w:val="20"/>
    </w:rPr>
  </w:style>
  <w:style w:type="character" w:customStyle="1" w:styleId="CommentTextChar">
    <w:name w:val="Comment Text Char"/>
    <w:basedOn w:val="DefaultParagraphFont"/>
    <w:link w:val="CommentText"/>
    <w:uiPriority w:val="99"/>
    <w:semiHidden/>
    <w:rsid w:val="00121B13"/>
    <w:rPr>
      <w:sz w:val="20"/>
      <w:szCs w:val="20"/>
    </w:rPr>
  </w:style>
  <w:style w:type="paragraph" w:styleId="CommentSubject">
    <w:name w:val="annotation subject"/>
    <w:basedOn w:val="CommentText"/>
    <w:next w:val="CommentText"/>
    <w:link w:val="CommentSubjectChar"/>
    <w:uiPriority w:val="99"/>
    <w:semiHidden/>
    <w:unhideWhenUsed/>
    <w:rsid w:val="00121B13"/>
    <w:rPr>
      <w:b/>
      <w:bCs/>
    </w:rPr>
  </w:style>
  <w:style w:type="character" w:customStyle="1" w:styleId="CommentSubjectChar">
    <w:name w:val="Comment Subject Char"/>
    <w:basedOn w:val="CommentTextChar"/>
    <w:link w:val="CommentSubject"/>
    <w:uiPriority w:val="99"/>
    <w:semiHidden/>
    <w:rsid w:val="00121B13"/>
    <w:rPr>
      <w:b/>
      <w:bCs/>
      <w:sz w:val="20"/>
      <w:szCs w:val="20"/>
    </w:rPr>
  </w:style>
  <w:style w:type="paragraph" w:styleId="BalloonText">
    <w:name w:val="Balloon Text"/>
    <w:basedOn w:val="Normal"/>
    <w:link w:val="BalloonTextChar"/>
    <w:uiPriority w:val="99"/>
    <w:semiHidden/>
    <w:unhideWhenUsed/>
    <w:rsid w:val="00121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B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49978">
      <w:bodyDiv w:val="1"/>
      <w:marLeft w:val="0"/>
      <w:marRight w:val="0"/>
      <w:marTop w:val="0"/>
      <w:marBottom w:val="0"/>
      <w:divBdr>
        <w:top w:val="none" w:sz="0" w:space="0" w:color="auto"/>
        <w:left w:val="none" w:sz="0" w:space="0" w:color="auto"/>
        <w:bottom w:val="none" w:sz="0" w:space="0" w:color="auto"/>
        <w:right w:val="none" w:sz="0" w:space="0" w:color="auto"/>
      </w:divBdr>
      <w:divsChild>
        <w:div w:id="1483738329">
          <w:marLeft w:val="0"/>
          <w:marRight w:val="0"/>
          <w:marTop w:val="0"/>
          <w:marBottom w:val="0"/>
          <w:divBdr>
            <w:top w:val="none" w:sz="0" w:space="0" w:color="auto"/>
            <w:left w:val="none" w:sz="0" w:space="0" w:color="auto"/>
            <w:bottom w:val="none" w:sz="0" w:space="0" w:color="auto"/>
            <w:right w:val="none" w:sz="0" w:space="0" w:color="auto"/>
          </w:divBdr>
          <w:divsChild>
            <w:div w:id="1832288224">
              <w:marLeft w:val="0"/>
              <w:marRight w:val="0"/>
              <w:marTop w:val="0"/>
              <w:marBottom w:val="0"/>
              <w:divBdr>
                <w:top w:val="none" w:sz="0" w:space="0" w:color="auto"/>
                <w:left w:val="none" w:sz="0" w:space="0" w:color="auto"/>
                <w:bottom w:val="none" w:sz="0" w:space="0" w:color="auto"/>
                <w:right w:val="none" w:sz="0" w:space="0" w:color="auto"/>
              </w:divBdr>
              <w:divsChild>
                <w:div w:id="1221361596">
                  <w:marLeft w:val="0"/>
                  <w:marRight w:val="0"/>
                  <w:marTop w:val="0"/>
                  <w:marBottom w:val="0"/>
                  <w:divBdr>
                    <w:top w:val="none" w:sz="0" w:space="0" w:color="auto"/>
                    <w:left w:val="none" w:sz="0" w:space="0" w:color="auto"/>
                    <w:bottom w:val="none" w:sz="0" w:space="0" w:color="auto"/>
                    <w:right w:val="none" w:sz="0" w:space="0" w:color="auto"/>
                  </w:divBdr>
                  <w:divsChild>
                    <w:div w:id="1607040454">
                      <w:marLeft w:val="0"/>
                      <w:marRight w:val="0"/>
                      <w:marTop w:val="0"/>
                      <w:marBottom w:val="0"/>
                      <w:divBdr>
                        <w:top w:val="none" w:sz="0" w:space="0" w:color="auto"/>
                        <w:left w:val="none" w:sz="0" w:space="0" w:color="auto"/>
                        <w:bottom w:val="none" w:sz="0" w:space="0" w:color="auto"/>
                        <w:right w:val="none" w:sz="0" w:space="0" w:color="auto"/>
                      </w:divBdr>
                      <w:divsChild>
                        <w:div w:id="1379624009">
                          <w:marLeft w:val="0"/>
                          <w:marRight w:val="0"/>
                          <w:marTop w:val="0"/>
                          <w:marBottom w:val="0"/>
                          <w:divBdr>
                            <w:top w:val="none" w:sz="0" w:space="0" w:color="auto"/>
                            <w:left w:val="none" w:sz="0" w:space="0" w:color="auto"/>
                            <w:bottom w:val="none" w:sz="0" w:space="0" w:color="auto"/>
                            <w:right w:val="none" w:sz="0" w:space="0" w:color="auto"/>
                          </w:divBdr>
                          <w:divsChild>
                            <w:div w:id="154031829">
                              <w:marLeft w:val="0"/>
                              <w:marRight w:val="0"/>
                              <w:marTop w:val="0"/>
                              <w:marBottom w:val="0"/>
                              <w:divBdr>
                                <w:top w:val="none" w:sz="0" w:space="0" w:color="auto"/>
                                <w:left w:val="none" w:sz="0" w:space="0" w:color="auto"/>
                                <w:bottom w:val="none" w:sz="0" w:space="0" w:color="auto"/>
                                <w:right w:val="none" w:sz="0" w:space="0" w:color="auto"/>
                              </w:divBdr>
                              <w:divsChild>
                                <w:div w:id="13834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ho.int/ipcs/methods/harmonization/areas/cancer/en/" TargetMode="External"/><Relationship Id="rId18" Type="http://schemas.openxmlformats.org/officeDocument/2006/relationships/hyperlink" Target="http://www.who.int/ipcs/methods/harmonization/areas/cancer_mode.pdf?ua=1" TargetMode="External"/><Relationship Id="rId26" Type="http://schemas.openxmlformats.org/officeDocument/2006/relationships/hyperlink" Target="http://www.who.int/ipcs/methods/harmonization/areas/pbpk/en/" TargetMode="External"/><Relationship Id="rId3" Type="http://schemas.openxmlformats.org/officeDocument/2006/relationships/customXml" Target="../customXml/item3.xml"/><Relationship Id="rId21" Type="http://schemas.openxmlformats.org/officeDocument/2006/relationships/hyperlink" Target="http://www.who.int/ipcs/methods/harmonization/areas/cancer_mode.pdf?ua=1" TargetMode="External"/><Relationship Id="rId7" Type="http://schemas.microsoft.com/office/2007/relationships/stylesWithEffects" Target="stylesWithEffects.xml"/><Relationship Id="rId12" Type="http://schemas.openxmlformats.org/officeDocument/2006/relationships/hyperlink" Target="http://onlinelibrary.wiley.com/doi/10.1002/jat.v34.1/issuetoc" TargetMode="External"/><Relationship Id="rId17" Type="http://schemas.openxmlformats.org/officeDocument/2006/relationships/hyperlink" Target="http://www.who.int/ipcs/methods/harmonization/areas/cancer_mode.pdf?ua=1" TargetMode="External"/><Relationship Id="rId25" Type="http://schemas.openxmlformats.org/officeDocument/2006/relationships/hyperlink" Target="http://echa.europa.eu/guidance-documents/guidance-on-information-requirements-and-chemical-safety-assess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ho.int/ipcs/methods/harmonization/areas/cancer_mode.pdf?ua=1" TargetMode="External"/><Relationship Id="rId20" Type="http://schemas.openxmlformats.org/officeDocument/2006/relationships/hyperlink" Target="http://onlinelibrary.wiley.com/doi/10.1002/jat.v34.1/issuetoc" TargetMode="External"/><Relationship Id="rId29" Type="http://schemas.openxmlformats.org/officeDocument/2006/relationships/hyperlink" Target="http://www.who.int/ipcs/methods/harmonization/areas/cancer_mode.pdf?ua=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who.int/ipcs/methods/harmonization/areas/uncertainty/e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onlinelibrary.wiley.com/doi/10.1002/jat.v34.1/issuetoc" TargetMode="External"/><Relationship Id="rId23" Type="http://schemas.openxmlformats.org/officeDocument/2006/relationships/hyperlink" Target="http://onlinelibrary.wiley.com/doi/10.1002/jat.v34.1/issuetoc" TargetMode="External"/><Relationship Id="rId28" Type="http://schemas.openxmlformats.org/officeDocument/2006/relationships/hyperlink" Target="http://onlinelibrary.wiley.com/doi/10.1002/jat.v34.1/issuetoc" TargetMode="External"/><Relationship Id="rId10" Type="http://schemas.openxmlformats.org/officeDocument/2006/relationships/footnotes" Target="footnotes.xml"/><Relationship Id="rId19" Type="http://schemas.openxmlformats.org/officeDocument/2006/relationships/hyperlink" Target="http://onlinelibrary.wiley.com/doi/10.1002/jat.v34.1/issuetoc"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ho.int/ipcs/methods/harmonization/areas/cancer_mode.pdf?ua=1" TargetMode="External"/><Relationship Id="rId22" Type="http://schemas.openxmlformats.org/officeDocument/2006/relationships/hyperlink" Target="http://onlinelibrary.wiley.com/doi/10.1002/jat.v34.1/issuetoc" TargetMode="External"/><Relationship Id="rId27" Type="http://schemas.openxmlformats.org/officeDocument/2006/relationships/hyperlink" Target="http://echa.europa.eu/guidance-documents/guidance-on-information-requirements-and-chemical-safety-assessment" TargetMode="External"/><Relationship Id="rId30" Type="http://schemas.openxmlformats.org/officeDocument/2006/relationships/hyperlink" Target="http://www.who.int/ipcs/methods/harmonization/areas/hazard_assessmen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E009-58A1-4048-A02B-B0F9FC968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BE00EE0-8924-4969-A8D5-F9BAFD1D89E4}">
  <ds:schemaRefs>
    <ds:schemaRef ds:uri="http://schemas.microsoft.com/sharepoint/v3/contenttype/forms"/>
  </ds:schemaRefs>
</ds:datastoreItem>
</file>

<file path=customXml/itemProps3.xml><?xml version="1.0" encoding="utf-8"?>
<ds:datastoreItem xmlns:ds="http://schemas.openxmlformats.org/officeDocument/2006/customXml" ds:itemID="{DAC3731A-21A3-40DB-B3FC-F34AB54F433D}">
  <ds:schemaRefs>
    <ds:schemaRef ds:uri="http://purl.org/dc/elements/1.1/"/>
    <ds:schemaRef ds:uri="http://purl.org/dc/terms/"/>
    <ds:schemaRef ds:uri="http://www.w3.org/XML/1998/namespace"/>
    <ds:schemaRef ds:uri="http://schemas.microsoft.com/office/2006/metadata/properties"/>
    <ds:schemaRef ds:uri="http://purl.org/dc/dcmityp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BF64FC5D-6F46-44C2-88A7-FEE254E2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2230</Words>
  <Characters>12713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European Chemicals Agency</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FOTAKIS George</dc:creator>
  <cp:lastModifiedBy>FOTAKIS George</cp:lastModifiedBy>
  <cp:revision>2</cp:revision>
  <dcterms:created xsi:type="dcterms:W3CDTF">2016-04-18T12:01:00Z</dcterms:created>
  <dcterms:modified xsi:type="dcterms:W3CDTF">2016-04-18T12:01:00Z</dcterms:modified>
</cp:coreProperties>
</file>